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Odfjelltable"/>
        <w:tblW w:w="0" w:type="auto"/>
        <w:tblBorders>
          <w:bottom w:val="single" w:sz="8" w:space="0" w:color="00917C" w:themeColor="text1"/>
        </w:tblBorders>
        <w:tblCellMar>
          <w:left w:w="0" w:type="dxa"/>
          <w:bottom w:w="113" w:type="dxa"/>
          <w:right w:w="0" w:type="dxa"/>
        </w:tblCellMar>
        <w:tblLook w:val="04A0" w:firstRow="1" w:lastRow="0" w:firstColumn="1" w:lastColumn="0" w:noHBand="0" w:noVBand="1"/>
      </w:tblPr>
      <w:tblGrid>
        <w:gridCol w:w="9060"/>
      </w:tblGrid>
      <w:tr w:rsidR="000F1208" w14:paraId="6532FFA0" w14:textId="77777777" w:rsidTr="000F1208">
        <w:tc>
          <w:tcPr>
            <w:tcW w:w="9060" w:type="dxa"/>
          </w:tcPr>
          <w:p w14:paraId="0B916DEE" w14:textId="0C70D50C" w:rsidR="000F1208" w:rsidRDefault="000F1208" w:rsidP="000F1208">
            <w:pPr>
              <w:pStyle w:val="Policy-Ingress"/>
            </w:pPr>
            <w:bookmarkStart w:id="0" w:name="_Toc97810997"/>
            <w:r w:rsidRPr="000F1208">
              <w:t xml:space="preserve">Odfjell </w:t>
            </w:r>
            <w:r w:rsidR="008B3AFE" w:rsidRPr="0048160D">
              <w:rPr>
                <w:lang w:val="en"/>
              </w:rPr>
              <w:t>Technology Ltd is the parent company of the Odfjell Technology Group and is a</w:t>
            </w:r>
            <w:r w:rsidR="00473C48">
              <w:rPr>
                <w:lang w:val="en"/>
              </w:rPr>
              <w:t>n</w:t>
            </w:r>
            <w:r w:rsidR="008B3AFE" w:rsidRPr="0048160D">
              <w:rPr>
                <w:lang w:val="en"/>
              </w:rPr>
              <w:t xml:space="preserve"> international business listed on the Oslo Stock Exchange. The Group is currently conducting projects in </w:t>
            </w:r>
            <w:r w:rsidR="005A6263">
              <w:rPr>
                <w:lang w:val="en"/>
              </w:rPr>
              <w:t>several</w:t>
            </w:r>
            <w:r w:rsidR="008B3AFE" w:rsidRPr="0048160D">
              <w:rPr>
                <w:lang w:val="en"/>
              </w:rPr>
              <w:t xml:space="preserve"> countries, with its main activities based in</w:t>
            </w:r>
            <w:r w:rsidR="00A81C22">
              <w:rPr>
                <w:lang w:val="en"/>
              </w:rPr>
              <w:t xml:space="preserve"> the</w:t>
            </w:r>
            <w:r w:rsidR="008B3AFE" w:rsidRPr="0048160D">
              <w:rPr>
                <w:lang w:val="en"/>
              </w:rPr>
              <w:t xml:space="preserve"> </w:t>
            </w:r>
            <w:r w:rsidR="00A81C22">
              <w:rPr>
                <w:lang w:val="en"/>
              </w:rPr>
              <w:t>UK</w:t>
            </w:r>
            <w:r w:rsidR="006D6560">
              <w:rPr>
                <w:lang w:val="en"/>
              </w:rPr>
              <w:t xml:space="preserve">, </w:t>
            </w:r>
            <w:r w:rsidR="00A81C22">
              <w:rPr>
                <w:lang w:val="en"/>
              </w:rPr>
              <w:t>Norway</w:t>
            </w:r>
            <w:r w:rsidR="008B3AFE" w:rsidRPr="0048160D">
              <w:rPr>
                <w:lang w:val="en"/>
              </w:rPr>
              <w:t xml:space="preserve"> the Netherlands, Romania, United Arab Emirates, and the Philippines. </w:t>
            </w:r>
          </w:p>
        </w:tc>
      </w:tr>
    </w:tbl>
    <w:p w14:paraId="708597DB" w14:textId="77777777" w:rsidR="000F1208" w:rsidRDefault="000F1208" w:rsidP="0017546D"/>
    <w:p w14:paraId="501F9AA1" w14:textId="77777777" w:rsidR="008B3AFE" w:rsidRPr="0048160D" w:rsidRDefault="008B3AFE" w:rsidP="008B3AFE">
      <w:pPr>
        <w:rPr>
          <w:b/>
          <w:lang w:val="en"/>
        </w:rPr>
      </w:pPr>
      <w:r w:rsidRPr="0048160D">
        <w:rPr>
          <w:b/>
          <w:lang w:val="en"/>
        </w:rPr>
        <w:t>Our Tax Strategy</w:t>
      </w:r>
    </w:p>
    <w:p w14:paraId="677BE5E2" w14:textId="66CC2E23" w:rsidR="008B3AFE" w:rsidRPr="0048160D" w:rsidRDefault="008B3AFE" w:rsidP="008B3AFE">
      <w:pPr>
        <w:rPr>
          <w:lang w:val="en"/>
        </w:rPr>
      </w:pPr>
      <w:r w:rsidRPr="0048160D">
        <w:rPr>
          <w:lang w:val="en"/>
        </w:rPr>
        <w:t>Odfjell Technology Group (or “the Group”) regards the publication of this tax strategy as complying with its duty under paragraph 16 (2) of Schedule 19 of the Finance Act 2016 to publish its tax strategy</w:t>
      </w:r>
      <w:r w:rsidR="006D6560">
        <w:rPr>
          <w:lang w:val="en"/>
        </w:rPr>
        <w:t xml:space="preserve"> </w:t>
      </w:r>
      <w:r w:rsidR="004F5D26">
        <w:rPr>
          <w:lang w:val="en"/>
        </w:rPr>
        <w:t>for 202</w:t>
      </w:r>
      <w:r w:rsidR="00C55FB9">
        <w:rPr>
          <w:lang w:val="en"/>
        </w:rPr>
        <w:t>6</w:t>
      </w:r>
      <w:r w:rsidRPr="0048160D">
        <w:rPr>
          <w:lang w:val="en"/>
        </w:rPr>
        <w:t xml:space="preserve">. </w:t>
      </w:r>
    </w:p>
    <w:p w14:paraId="172EEF50" w14:textId="1AC0EE87" w:rsidR="008B3AFE" w:rsidRDefault="008B3AFE" w:rsidP="008B3AFE">
      <w:pPr>
        <w:rPr>
          <w:lang w:val="en"/>
        </w:rPr>
      </w:pPr>
      <w:r w:rsidRPr="0048160D">
        <w:rPr>
          <w:lang w:val="en"/>
        </w:rPr>
        <w:t>The overall aim for the Group is to support its business by maintaining a sustainable tax rate, while mitigating tax risks and complying with rules and regulations in the applicable jurisdictions in which Odfjell Technology operates.</w:t>
      </w:r>
      <w:r w:rsidR="00AC34E6">
        <w:rPr>
          <w:lang w:val="en"/>
        </w:rPr>
        <w:t xml:space="preserve"> </w:t>
      </w:r>
    </w:p>
    <w:p w14:paraId="7E9F8C3A" w14:textId="77777777" w:rsidR="008B3AFE" w:rsidRPr="0048160D" w:rsidRDefault="008B3AFE" w:rsidP="008B3AFE">
      <w:pPr>
        <w:rPr>
          <w:lang w:val="en"/>
        </w:rPr>
      </w:pPr>
    </w:p>
    <w:p w14:paraId="49D387CD" w14:textId="3759CA41" w:rsidR="008B3AFE" w:rsidRPr="0048160D" w:rsidRDefault="008B3AFE" w:rsidP="008B3AFE">
      <w:pPr>
        <w:rPr>
          <w:b/>
          <w:bCs/>
          <w:lang w:val="en"/>
        </w:rPr>
      </w:pPr>
      <w:r w:rsidRPr="0048160D">
        <w:rPr>
          <w:b/>
          <w:bCs/>
          <w:lang w:val="en"/>
        </w:rPr>
        <w:t xml:space="preserve">1.    </w:t>
      </w:r>
      <w:r w:rsidRPr="0048160D">
        <w:rPr>
          <w:b/>
          <w:bCs/>
        </w:rPr>
        <w:t xml:space="preserve"> Approach to </w:t>
      </w:r>
      <w:r w:rsidR="00A81C22">
        <w:rPr>
          <w:b/>
          <w:bCs/>
        </w:rPr>
        <w:t xml:space="preserve">tax </w:t>
      </w:r>
      <w:r w:rsidRPr="0048160D">
        <w:rPr>
          <w:b/>
          <w:bCs/>
        </w:rPr>
        <w:t xml:space="preserve">risk management </w:t>
      </w:r>
    </w:p>
    <w:p w14:paraId="530DB1B1" w14:textId="77777777" w:rsidR="008B3AFE" w:rsidRPr="0048160D" w:rsidRDefault="008B3AFE" w:rsidP="008B3AFE">
      <w:pPr>
        <w:rPr>
          <w:lang w:val="en"/>
        </w:rPr>
      </w:pPr>
      <w:r w:rsidRPr="0048160D">
        <w:rPr>
          <w:lang w:val="en"/>
        </w:rPr>
        <w:t>1.1       Governance</w:t>
      </w:r>
    </w:p>
    <w:p w14:paraId="4F66B48F" w14:textId="0B4028F1" w:rsidR="008B3AFE" w:rsidRPr="006D6560" w:rsidRDefault="008B3AFE" w:rsidP="008B3AFE">
      <w:pPr>
        <w:rPr>
          <w:lang w:val="en"/>
        </w:rPr>
      </w:pPr>
      <w:r w:rsidRPr="0048160D">
        <w:rPr>
          <w:lang w:val="en"/>
        </w:rPr>
        <w:t xml:space="preserve">The Group maintains internal policies and procedures to support its tax control framework and provides training to its personnel to manage tax </w:t>
      </w:r>
      <w:r w:rsidRPr="006D6560">
        <w:rPr>
          <w:lang w:val="en"/>
        </w:rPr>
        <w:t>risk</w:t>
      </w:r>
      <w:r w:rsidR="00AC34E6" w:rsidRPr="006D6560">
        <w:rPr>
          <w:lang w:val="en"/>
        </w:rPr>
        <w:t xml:space="preserve"> in a professional manner and in line with generally accepted principles for business practice</w:t>
      </w:r>
      <w:r w:rsidRPr="006D6560">
        <w:rPr>
          <w:lang w:val="en"/>
        </w:rPr>
        <w:t xml:space="preserve">. Ultimate responsibility for the tax strategy lies with the Odfjell Technology Ltd Board. Responsibility for the Group tax strategy, the supporting governance </w:t>
      </w:r>
      <w:r w:rsidR="00847544" w:rsidRPr="006D6560">
        <w:rPr>
          <w:lang w:val="en"/>
        </w:rPr>
        <w:t xml:space="preserve">and compliance </w:t>
      </w:r>
      <w:r w:rsidRPr="006D6560">
        <w:rPr>
          <w:lang w:val="en"/>
        </w:rPr>
        <w:t xml:space="preserve">framework and management of tax risk ultimately sits with the Chief Financial Officer. The day-to-day responsibility for each of these areas is with the </w:t>
      </w:r>
      <w:r w:rsidR="00473C48">
        <w:rPr>
          <w:lang w:val="en"/>
        </w:rPr>
        <w:t xml:space="preserve">Group </w:t>
      </w:r>
      <w:r w:rsidR="0016554D" w:rsidRPr="006D6560">
        <w:rPr>
          <w:lang w:val="en"/>
        </w:rPr>
        <w:t>Tax Manager</w:t>
      </w:r>
      <w:r w:rsidR="005A6263" w:rsidRPr="006D6560">
        <w:rPr>
          <w:lang w:val="en"/>
        </w:rPr>
        <w:t>.</w:t>
      </w:r>
    </w:p>
    <w:p w14:paraId="3229A2F3" w14:textId="392FE7AD" w:rsidR="008B3AFE" w:rsidRPr="006D6560" w:rsidRDefault="008B3AFE" w:rsidP="008B3AFE">
      <w:pPr>
        <w:rPr>
          <w:lang w:val="en"/>
        </w:rPr>
      </w:pPr>
      <w:r w:rsidRPr="006D6560">
        <w:rPr>
          <w:lang w:val="en"/>
        </w:rPr>
        <w:t>The Group’s tax strategy aligns to the Group's wider</w:t>
      </w:r>
      <w:r w:rsidR="00DE1C94" w:rsidRPr="006D6560">
        <w:rPr>
          <w:lang w:val="en"/>
        </w:rPr>
        <w:t xml:space="preserve"> compliance,</w:t>
      </w:r>
      <w:r w:rsidRPr="006D6560">
        <w:rPr>
          <w:lang w:val="en"/>
        </w:rPr>
        <w:t xml:space="preserve"> risk and control framework. Key risks and issues related to tax are escalated to and considered by the Group Audit Committee and Board of Directors on a regular basis.</w:t>
      </w:r>
      <w:r w:rsidR="00BE6967" w:rsidRPr="006D6560">
        <w:rPr>
          <w:lang w:val="en"/>
        </w:rPr>
        <w:t xml:space="preserve"> </w:t>
      </w:r>
    </w:p>
    <w:p w14:paraId="025D0552" w14:textId="77777777" w:rsidR="008B3AFE" w:rsidRPr="006D6560" w:rsidRDefault="008B3AFE" w:rsidP="008B3AFE">
      <w:pPr>
        <w:rPr>
          <w:lang w:val="en"/>
        </w:rPr>
      </w:pPr>
      <w:r w:rsidRPr="006D6560">
        <w:rPr>
          <w:lang w:val="en"/>
        </w:rPr>
        <w:t>1.2       Tax risk management</w:t>
      </w:r>
    </w:p>
    <w:p w14:paraId="45A1C161" w14:textId="164DDEF2" w:rsidR="008B3AFE" w:rsidRPr="006D6560" w:rsidRDefault="008B3AFE" w:rsidP="008B3AFE">
      <w:pPr>
        <w:rPr>
          <w:lang w:val="en"/>
        </w:rPr>
      </w:pPr>
      <w:r w:rsidRPr="006D6560">
        <w:rPr>
          <w:lang w:val="en"/>
        </w:rPr>
        <w:t>The Group aims to manage tax risk in a similar way to any area of operational risk. The Group’s operational and industrial risks factors include volatile oil and gas prices, competition within the oil and gas services industry, changes in client’s spending budgets plus developments in the financial markets externally. The tax risks are managed by oversight functions via the Finance &amp; Governance department.</w:t>
      </w:r>
    </w:p>
    <w:p w14:paraId="69846E9F" w14:textId="39F5765E" w:rsidR="008B3AFE" w:rsidRPr="006D6560" w:rsidRDefault="008B3AFE" w:rsidP="008B3AFE">
      <w:pPr>
        <w:rPr>
          <w:lang w:val="en"/>
        </w:rPr>
      </w:pPr>
      <w:r w:rsidRPr="006D6560">
        <w:rPr>
          <w:lang w:val="en"/>
        </w:rPr>
        <w:t>The Group has looked at the activities and responsibilities of the group tax functions and will assess headcount within the functions as the scale and complexity of the business evolves</w:t>
      </w:r>
      <w:r w:rsidR="00A81C22" w:rsidRPr="006D6560">
        <w:rPr>
          <w:lang w:val="en"/>
        </w:rPr>
        <w:t>.</w:t>
      </w:r>
    </w:p>
    <w:p w14:paraId="1894A613" w14:textId="2ECEEE4F" w:rsidR="008B3AFE" w:rsidRPr="006D6560" w:rsidRDefault="008B3AFE" w:rsidP="008B3AFE">
      <w:pPr>
        <w:rPr>
          <w:lang w:val="en"/>
        </w:rPr>
      </w:pPr>
      <w:r w:rsidRPr="006D6560">
        <w:rPr>
          <w:lang w:val="en"/>
        </w:rPr>
        <w:lastRenderedPageBreak/>
        <w:t xml:space="preserve">Where appropriate, the Group looks to engage with </w:t>
      </w:r>
      <w:r w:rsidR="00AA79DF" w:rsidRPr="006D6560">
        <w:rPr>
          <w:lang w:val="en"/>
        </w:rPr>
        <w:t xml:space="preserve">tax authorities </w:t>
      </w:r>
      <w:r w:rsidRPr="006D6560">
        <w:rPr>
          <w:lang w:val="en"/>
        </w:rPr>
        <w:t>to disclose and resolve issues, risks and uncertain tax positions. The subjective nature of global tax legislation means that it is often not possible to mitigate all known tax risks. As a result, at any given time, the Group may be exposed to financial and reputational risks arising from its tax affairs.</w:t>
      </w:r>
    </w:p>
    <w:p w14:paraId="19B3F85A" w14:textId="75E66706" w:rsidR="008B3AFE" w:rsidRPr="006D6560" w:rsidRDefault="008B3AFE" w:rsidP="008B3AFE">
      <w:pPr>
        <w:rPr>
          <w:lang w:val="en"/>
        </w:rPr>
      </w:pPr>
      <w:r w:rsidRPr="006D6560">
        <w:rPr>
          <w:lang w:val="en"/>
        </w:rPr>
        <w:t xml:space="preserve">The Group operates presently in </w:t>
      </w:r>
      <w:r w:rsidR="005A6263" w:rsidRPr="006D6560">
        <w:rPr>
          <w:lang w:val="en"/>
        </w:rPr>
        <w:t>several</w:t>
      </w:r>
      <w:r w:rsidRPr="006D6560">
        <w:rPr>
          <w:lang w:val="en"/>
        </w:rPr>
        <w:t xml:space="preserve"> countries and is exposed to a variety of tax risks as follows:</w:t>
      </w:r>
    </w:p>
    <w:p w14:paraId="284B592E" w14:textId="77777777" w:rsidR="008B3AFE" w:rsidRPr="006D6560" w:rsidRDefault="008B3AFE" w:rsidP="008B3AFE">
      <w:pPr>
        <w:rPr>
          <w:lang w:val="en"/>
        </w:rPr>
      </w:pPr>
      <w:r w:rsidRPr="006D6560">
        <w:rPr>
          <w:lang w:val="en"/>
        </w:rPr>
        <w:t>1.2.1    Tax compliance and reporting risks</w:t>
      </w:r>
    </w:p>
    <w:p w14:paraId="6DA9144C" w14:textId="77777777" w:rsidR="008B3AFE" w:rsidRPr="006D6560" w:rsidRDefault="008B3AFE" w:rsidP="008B3AFE">
      <w:pPr>
        <w:rPr>
          <w:lang w:val="en"/>
        </w:rPr>
      </w:pPr>
      <w:r w:rsidRPr="006D6560">
        <w:rPr>
          <w:lang w:val="en"/>
        </w:rPr>
        <w:t>Risks associated with compliance failures such as submission of late or inaccurate returns, the failure to submit claims and elections on time or where systems and processes are not sufficiently robust to support tax compliance and reporting requirements.</w:t>
      </w:r>
    </w:p>
    <w:p w14:paraId="0A7C989B" w14:textId="77777777" w:rsidR="008B3AFE" w:rsidRPr="006D6560" w:rsidRDefault="008B3AFE" w:rsidP="008B3AFE">
      <w:pPr>
        <w:rPr>
          <w:lang w:val="en"/>
        </w:rPr>
      </w:pPr>
      <w:r w:rsidRPr="006D6560">
        <w:rPr>
          <w:lang w:val="en"/>
        </w:rPr>
        <w:t>1.2.2    Transactional risks</w:t>
      </w:r>
    </w:p>
    <w:p w14:paraId="68F7227C" w14:textId="77777777" w:rsidR="008B3AFE" w:rsidRPr="006D6560" w:rsidRDefault="008B3AFE" w:rsidP="008B3AFE">
      <w:pPr>
        <w:rPr>
          <w:lang w:val="en"/>
        </w:rPr>
      </w:pPr>
      <w:r w:rsidRPr="006D6560">
        <w:rPr>
          <w:lang w:val="en"/>
        </w:rPr>
        <w:t>Risks associated with undertaking transactions without appropriate consideration of the potential tax consequences or where advice taken is not correctly implemented.</w:t>
      </w:r>
    </w:p>
    <w:p w14:paraId="6BF2E761" w14:textId="77777777" w:rsidR="008B3AFE" w:rsidRPr="006D6560" w:rsidRDefault="008B3AFE" w:rsidP="008B3AFE">
      <w:pPr>
        <w:rPr>
          <w:lang w:val="en"/>
        </w:rPr>
      </w:pPr>
      <w:r w:rsidRPr="006D6560">
        <w:rPr>
          <w:lang w:val="en"/>
        </w:rPr>
        <w:t>1.2.3</w:t>
      </w:r>
      <w:r w:rsidRPr="006D6560">
        <w:rPr>
          <w:lang w:val="en"/>
        </w:rPr>
        <w:tab/>
        <w:t>Risk Register</w:t>
      </w:r>
    </w:p>
    <w:p w14:paraId="60A36980" w14:textId="77777777" w:rsidR="008B3AFE" w:rsidRPr="006D6560" w:rsidRDefault="008B3AFE" w:rsidP="008B3AFE">
      <w:pPr>
        <w:spacing w:after="0" w:line="240" w:lineRule="auto"/>
        <w:rPr>
          <w:lang w:val="en"/>
        </w:rPr>
      </w:pPr>
      <w:r w:rsidRPr="006D6560">
        <w:rPr>
          <w:lang w:val="en"/>
        </w:rPr>
        <w:t>The Group maintains a tax risk register, identifying tax risks facing the Group, the mitigation actions and any ongoing enquiries/audits from tax authorities.</w:t>
      </w:r>
    </w:p>
    <w:p w14:paraId="781337AD" w14:textId="77777777" w:rsidR="008B3AFE" w:rsidRPr="006D6560" w:rsidRDefault="008B3AFE" w:rsidP="008B3AFE">
      <w:pPr>
        <w:spacing w:after="0" w:line="240" w:lineRule="auto"/>
        <w:rPr>
          <w:lang w:val="en"/>
        </w:rPr>
      </w:pPr>
    </w:p>
    <w:p w14:paraId="144BE26F" w14:textId="77777777" w:rsidR="008B3AFE" w:rsidRPr="006D6560" w:rsidRDefault="008B3AFE" w:rsidP="008B3AFE">
      <w:pPr>
        <w:spacing w:after="0" w:line="240" w:lineRule="auto"/>
        <w:rPr>
          <w:lang w:val="en"/>
        </w:rPr>
      </w:pPr>
      <w:r w:rsidRPr="006D6560">
        <w:rPr>
          <w:lang w:val="en"/>
        </w:rPr>
        <w:t>Potential financial tax exposure, including interest and/or penalties, to the Group will be quantified and where necessary a provision will be created.</w:t>
      </w:r>
    </w:p>
    <w:p w14:paraId="3E3A7618" w14:textId="77777777" w:rsidR="008B3AFE" w:rsidRPr="006D6560" w:rsidRDefault="008B3AFE" w:rsidP="008B3AFE">
      <w:pPr>
        <w:spacing w:after="0" w:line="240" w:lineRule="auto"/>
        <w:rPr>
          <w:lang w:val="en"/>
        </w:rPr>
      </w:pPr>
    </w:p>
    <w:p w14:paraId="63D15247" w14:textId="77777777" w:rsidR="008B3AFE" w:rsidRPr="006D6560" w:rsidRDefault="008B3AFE" w:rsidP="008B3AFE">
      <w:pPr>
        <w:rPr>
          <w:lang w:val="en"/>
        </w:rPr>
      </w:pPr>
      <w:r w:rsidRPr="006D6560">
        <w:rPr>
          <w:lang w:val="en"/>
        </w:rPr>
        <w:t>1.2.4    Reputational risks</w:t>
      </w:r>
    </w:p>
    <w:p w14:paraId="704E6CA5" w14:textId="77777777" w:rsidR="008B3AFE" w:rsidRPr="006D6560" w:rsidRDefault="008B3AFE" w:rsidP="008B3AFE">
      <w:pPr>
        <w:rPr>
          <w:lang w:val="en"/>
        </w:rPr>
      </w:pPr>
      <w:proofErr w:type="gramStart"/>
      <w:r w:rsidRPr="006D6560">
        <w:rPr>
          <w:lang w:val="en"/>
        </w:rPr>
        <w:t>Non</w:t>
      </w:r>
      <w:proofErr w:type="gramEnd"/>
      <w:r w:rsidRPr="006D6560">
        <w:rPr>
          <w:lang w:val="en"/>
        </w:rPr>
        <w:t xml:space="preserve">-financial tax risks that may have an impact on the Group’s relationships with shareholders, clients, tax authorities and the </w:t>
      </w:r>
      <w:proofErr w:type="gramStart"/>
      <w:r w:rsidRPr="006D6560">
        <w:rPr>
          <w:lang w:val="en"/>
        </w:rPr>
        <w:t>general public</w:t>
      </w:r>
      <w:proofErr w:type="gramEnd"/>
      <w:r w:rsidRPr="006D6560">
        <w:rPr>
          <w:lang w:val="en"/>
        </w:rPr>
        <w:t>.</w:t>
      </w:r>
    </w:p>
    <w:p w14:paraId="0BAAE3A4" w14:textId="77777777" w:rsidR="008B3AFE" w:rsidRPr="006D6560" w:rsidRDefault="008B3AFE" w:rsidP="008B3AFE">
      <w:pPr>
        <w:rPr>
          <w:lang w:val="en"/>
        </w:rPr>
      </w:pPr>
    </w:p>
    <w:p w14:paraId="35EBBB0F" w14:textId="759FCCEF" w:rsidR="008B3AFE" w:rsidRPr="006D6560" w:rsidRDefault="008B3AFE" w:rsidP="008B3AFE">
      <w:pPr>
        <w:rPr>
          <w:b/>
          <w:bCs/>
          <w:lang w:val="en"/>
        </w:rPr>
      </w:pPr>
      <w:r w:rsidRPr="006D6560">
        <w:rPr>
          <w:b/>
          <w:bCs/>
          <w:lang w:val="en"/>
        </w:rPr>
        <w:t xml:space="preserve">2.   </w:t>
      </w:r>
      <w:r w:rsidR="00A81C22" w:rsidRPr="006D6560">
        <w:rPr>
          <w:b/>
          <w:bCs/>
          <w:lang w:val="en"/>
        </w:rPr>
        <w:t>Approach to</w:t>
      </w:r>
      <w:r w:rsidRPr="006D6560">
        <w:rPr>
          <w:b/>
          <w:bCs/>
          <w:lang w:val="en"/>
        </w:rPr>
        <w:t xml:space="preserve"> Group tax planning </w:t>
      </w:r>
    </w:p>
    <w:p w14:paraId="2F73F5EF" w14:textId="2D680435" w:rsidR="008B3AFE" w:rsidRPr="006D6560" w:rsidRDefault="008B3AFE" w:rsidP="008B3AFE">
      <w:pPr>
        <w:rPr>
          <w:lang w:val="en"/>
        </w:rPr>
      </w:pPr>
      <w:r w:rsidRPr="006D6560">
        <w:rPr>
          <w:lang w:val="en"/>
        </w:rPr>
        <w:t xml:space="preserve">The Group </w:t>
      </w:r>
      <w:proofErr w:type="spellStart"/>
      <w:r w:rsidRPr="006D6560">
        <w:rPr>
          <w:lang w:val="en"/>
        </w:rPr>
        <w:t>recognises</w:t>
      </w:r>
      <w:proofErr w:type="spellEnd"/>
      <w:r w:rsidRPr="006D6560">
        <w:rPr>
          <w:lang w:val="en"/>
        </w:rPr>
        <w:t xml:space="preserve"> it has a responsibility to pay the level of tax as required by the laws of the jurisdictions in which it operates. The Group also has a responsibility to its shareholders to structure its affairs in an efficient manner.</w:t>
      </w:r>
    </w:p>
    <w:p w14:paraId="0EAE903E" w14:textId="5815EF9B" w:rsidR="008B3AFE" w:rsidRPr="006D6560" w:rsidRDefault="008B3AFE" w:rsidP="008B3AFE">
      <w:pPr>
        <w:rPr>
          <w:lang w:val="en"/>
        </w:rPr>
      </w:pPr>
      <w:r w:rsidRPr="006D6560">
        <w:rPr>
          <w:lang w:val="en"/>
        </w:rPr>
        <w:t xml:space="preserve">The commercial needs of the Group are to be considered and all </w:t>
      </w:r>
      <w:r w:rsidR="00D765B7" w:rsidRPr="006D6560">
        <w:rPr>
          <w:lang w:val="en"/>
        </w:rPr>
        <w:t xml:space="preserve">corporate and </w:t>
      </w:r>
      <w:r w:rsidRPr="006D6560">
        <w:rPr>
          <w:lang w:val="en"/>
        </w:rPr>
        <w:t xml:space="preserve">tax planning must have a business purpose.  The economic benefits associated with tax planning must never override compliance with all applicable laws and regulations. </w:t>
      </w:r>
      <w:r w:rsidR="00E03DF5" w:rsidRPr="006D6560">
        <w:rPr>
          <w:lang w:val="en"/>
        </w:rPr>
        <w:t>Intra Group</w:t>
      </w:r>
      <w:r w:rsidR="00E03DF5" w:rsidRPr="006D6560">
        <w:rPr>
          <w:i/>
          <w:iCs/>
          <w:lang w:val="en"/>
        </w:rPr>
        <w:t xml:space="preserve"> a</w:t>
      </w:r>
      <w:r w:rsidR="007E486C" w:rsidRPr="006D6560">
        <w:rPr>
          <w:lang w:val="en"/>
        </w:rPr>
        <w:t xml:space="preserve">greements and corporate structures shall be </w:t>
      </w:r>
      <w:r w:rsidR="0013365E" w:rsidRPr="006D6560">
        <w:rPr>
          <w:lang w:val="en"/>
        </w:rPr>
        <w:t xml:space="preserve">transparent, </w:t>
      </w:r>
      <w:r w:rsidR="007E486C" w:rsidRPr="006D6560">
        <w:rPr>
          <w:lang w:val="en"/>
        </w:rPr>
        <w:t xml:space="preserve">based on </w:t>
      </w:r>
      <w:r w:rsidR="00792249" w:rsidRPr="006D6560">
        <w:rPr>
          <w:lang w:val="en"/>
        </w:rPr>
        <w:t>arms-length terms</w:t>
      </w:r>
      <w:r w:rsidR="0019212D" w:rsidRPr="006D6560">
        <w:rPr>
          <w:lang w:val="en"/>
        </w:rPr>
        <w:t xml:space="preserve"> in accordance with OECD</w:t>
      </w:r>
      <w:r w:rsidR="00792249" w:rsidRPr="006D6560">
        <w:rPr>
          <w:lang w:val="en"/>
        </w:rPr>
        <w:t xml:space="preserve"> </w:t>
      </w:r>
      <w:r w:rsidR="0019212D" w:rsidRPr="006D6560">
        <w:rPr>
          <w:lang w:val="en"/>
        </w:rPr>
        <w:t xml:space="preserve">principles </w:t>
      </w:r>
      <w:r w:rsidR="00353B31" w:rsidRPr="006D6560">
        <w:rPr>
          <w:lang w:val="en"/>
        </w:rPr>
        <w:t>and</w:t>
      </w:r>
      <w:r w:rsidR="00F80577" w:rsidRPr="006D6560">
        <w:rPr>
          <w:lang w:val="en"/>
        </w:rPr>
        <w:t xml:space="preserve"> supported by the Group’s business and commercial activity</w:t>
      </w:r>
      <w:r w:rsidR="00792249" w:rsidRPr="006D6560">
        <w:rPr>
          <w:lang w:val="en"/>
        </w:rPr>
        <w:t>.</w:t>
      </w:r>
      <w:r w:rsidR="007E486C" w:rsidRPr="006D6560">
        <w:rPr>
          <w:lang w:val="en"/>
        </w:rPr>
        <w:t xml:space="preserve"> </w:t>
      </w:r>
      <w:r w:rsidR="00360200" w:rsidRPr="006D6560">
        <w:rPr>
          <w:lang w:val="en"/>
        </w:rPr>
        <w:t xml:space="preserve">The Group shall only </w:t>
      </w:r>
      <w:r w:rsidR="00F66C7F" w:rsidRPr="006D6560">
        <w:rPr>
          <w:lang w:val="en"/>
        </w:rPr>
        <w:t xml:space="preserve">use </w:t>
      </w:r>
      <w:r w:rsidR="007E486C" w:rsidRPr="006D6560">
        <w:rPr>
          <w:lang w:val="en"/>
        </w:rPr>
        <w:t xml:space="preserve">reputable </w:t>
      </w:r>
      <w:proofErr w:type="gramStart"/>
      <w:r w:rsidR="007E486C" w:rsidRPr="006D6560">
        <w:rPr>
          <w:lang w:val="en"/>
        </w:rPr>
        <w:t>third party</w:t>
      </w:r>
      <w:proofErr w:type="gramEnd"/>
      <w:r w:rsidR="007E486C" w:rsidRPr="006D6560">
        <w:rPr>
          <w:lang w:val="en"/>
        </w:rPr>
        <w:t xml:space="preserve"> tax advisors.</w:t>
      </w:r>
    </w:p>
    <w:p w14:paraId="59E059C3" w14:textId="7CF7D992" w:rsidR="008B3AFE" w:rsidRDefault="008B3AFE" w:rsidP="008B3AFE">
      <w:pPr>
        <w:rPr>
          <w:lang w:val="en"/>
        </w:rPr>
      </w:pPr>
      <w:r w:rsidRPr="006D6560">
        <w:rPr>
          <w:lang w:val="en"/>
        </w:rPr>
        <w:t>The Group does not tolerate tax evasion or the facilitation of tax evasion</w:t>
      </w:r>
      <w:r w:rsidR="007C7DE2" w:rsidRPr="006D6560">
        <w:rPr>
          <w:lang w:val="en"/>
        </w:rPr>
        <w:t xml:space="preserve"> or artificial</w:t>
      </w:r>
      <w:r w:rsidR="004C0338" w:rsidRPr="006D6560">
        <w:rPr>
          <w:lang w:val="en"/>
        </w:rPr>
        <w:t xml:space="preserve"> </w:t>
      </w:r>
      <w:r w:rsidR="005324DE" w:rsidRPr="006D6560">
        <w:rPr>
          <w:lang w:val="en"/>
        </w:rPr>
        <w:t>tax arrangements</w:t>
      </w:r>
      <w:r w:rsidRPr="006D6560">
        <w:rPr>
          <w:lang w:val="en"/>
        </w:rPr>
        <w:t>.</w:t>
      </w:r>
      <w:r w:rsidR="007E486C">
        <w:rPr>
          <w:lang w:val="en"/>
        </w:rPr>
        <w:t xml:space="preserve"> </w:t>
      </w:r>
    </w:p>
    <w:p w14:paraId="244BF170" w14:textId="77777777" w:rsidR="008B3AFE" w:rsidRPr="0048160D" w:rsidRDefault="008B3AFE" w:rsidP="008B3AFE">
      <w:pPr>
        <w:rPr>
          <w:b/>
          <w:bCs/>
          <w:lang w:val="en"/>
        </w:rPr>
      </w:pPr>
      <w:r w:rsidRPr="0048160D">
        <w:rPr>
          <w:b/>
          <w:bCs/>
          <w:lang w:val="en"/>
        </w:rPr>
        <w:lastRenderedPageBreak/>
        <w:t>3.   Level of risk in relation to UK taxation that the Group is prepared to accept</w:t>
      </w:r>
    </w:p>
    <w:p w14:paraId="107A11A2" w14:textId="77777777" w:rsidR="008B3AFE" w:rsidRDefault="008B3AFE" w:rsidP="008B3AFE">
      <w:pPr>
        <w:rPr>
          <w:b/>
          <w:bCs/>
          <w:lang w:val="en"/>
        </w:rPr>
      </w:pPr>
      <w:r w:rsidRPr="0048160D">
        <w:rPr>
          <w:lang w:val="en"/>
        </w:rPr>
        <w:t>The Group’s tax risk appetite requires that, where tax law is unclear or subject to interpretation, its adopted tax position is at least more likely than not to be allowable under applicable tax laws.</w:t>
      </w:r>
    </w:p>
    <w:p w14:paraId="36033351" w14:textId="670ECFB0" w:rsidR="008B3AFE" w:rsidRPr="0048160D" w:rsidRDefault="008B3AFE" w:rsidP="008B3AFE">
      <w:pPr>
        <w:rPr>
          <w:b/>
          <w:bCs/>
          <w:lang w:val="en"/>
        </w:rPr>
      </w:pPr>
      <w:r w:rsidRPr="0048160D">
        <w:rPr>
          <w:b/>
          <w:bCs/>
          <w:lang w:val="en"/>
        </w:rPr>
        <w:t xml:space="preserve">4.   Approach </w:t>
      </w:r>
      <w:r w:rsidR="00A81C22">
        <w:rPr>
          <w:b/>
          <w:bCs/>
          <w:lang w:val="en"/>
        </w:rPr>
        <w:t>for</w:t>
      </w:r>
      <w:r w:rsidR="00A81C22" w:rsidRPr="0048160D">
        <w:rPr>
          <w:b/>
          <w:bCs/>
          <w:lang w:val="en"/>
        </w:rPr>
        <w:t xml:space="preserve"> </w:t>
      </w:r>
      <w:r w:rsidRPr="0048160D">
        <w:rPr>
          <w:b/>
          <w:bCs/>
          <w:lang w:val="en"/>
        </w:rPr>
        <w:t xml:space="preserve">dealings with </w:t>
      </w:r>
      <w:r w:rsidR="00610360">
        <w:rPr>
          <w:b/>
          <w:bCs/>
          <w:lang w:val="en"/>
        </w:rPr>
        <w:t>tax authorities</w:t>
      </w:r>
    </w:p>
    <w:p w14:paraId="33D47E7F" w14:textId="77777777" w:rsidR="008B3AFE" w:rsidRPr="0048160D" w:rsidRDefault="008B3AFE" w:rsidP="008B3AFE">
      <w:pPr>
        <w:rPr>
          <w:lang w:val="en"/>
        </w:rPr>
      </w:pPr>
      <w:r w:rsidRPr="0048160D">
        <w:rPr>
          <w:lang w:val="en"/>
        </w:rPr>
        <w:t xml:space="preserve">The Group seeks to comply with its tax filing, tax reporting and tax payment obligations globally.  The Group tax function is required to foster good relationships with tax authorities in general, </w:t>
      </w:r>
      <w:proofErr w:type="gramStart"/>
      <w:r w:rsidRPr="0048160D">
        <w:rPr>
          <w:lang w:val="en"/>
        </w:rPr>
        <w:t>in particular the</w:t>
      </w:r>
      <w:proofErr w:type="gramEnd"/>
      <w:r w:rsidRPr="0048160D">
        <w:rPr>
          <w:lang w:val="en"/>
        </w:rPr>
        <w:t xml:space="preserve"> Group will:</w:t>
      </w:r>
    </w:p>
    <w:p w14:paraId="7A05A054" w14:textId="010BCC48" w:rsidR="008B3AFE" w:rsidRPr="0048160D" w:rsidRDefault="008B3AFE" w:rsidP="008B3AFE">
      <w:pPr>
        <w:ind w:left="720" w:hanging="720"/>
        <w:rPr>
          <w:lang w:val="en"/>
        </w:rPr>
      </w:pPr>
      <w:r w:rsidRPr="0048160D">
        <w:rPr>
          <w:lang w:val="en"/>
        </w:rPr>
        <w:t>•</w:t>
      </w:r>
      <w:r w:rsidRPr="0048160D">
        <w:rPr>
          <w:lang w:val="en"/>
        </w:rPr>
        <w:tab/>
        <w:t xml:space="preserve">Pro-actively manage Odfjell Technology’s relationship with </w:t>
      </w:r>
      <w:r w:rsidR="00610360">
        <w:rPr>
          <w:lang w:val="en"/>
        </w:rPr>
        <w:t>tax authorities</w:t>
      </w:r>
      <w:r w:rsidRPr="0048160D">
        <w:rPr>
          <w:lang w:val="en"/>
        </w:rPr>
        <w:t xml:space="preserve"> with the aim of </w:t>
      </w:r>
      <w:proofErr w:type="spellStart"/>
      <w:r w:rsidRPr="0048160D">
        <w:rPr>
          <w:lang w:val="en"/>
        </w:rPr>
        <w:t>minimising</w:t>
      </w:r>
      <w:proofErr w:type="spellEnd"/>
      <w:r w:rsidRPr="0048160D">
        <w:rPr>
          <w:lang w:val="en"/>
        </w:rPr>
        <w:t xml:space="preserve"> the risk of challenge, dispute or damage to its credibility</w:t>
      </w:r>
    </w:p>
    <w:p w14:paraId="44E4C0AF" w14:textId="77777777" w:rsidR="008B3AFE" w:rsidRPr="0048160D" w:rsidRDefault="008B3AFE" w:rsidP="008B3AFE">
      <w:pPr>
        <w:ind w:left="720" w:hanging="720"/>
        <w:rPr>
          <w:lang w:val="en"/>
        </w:rPr>
      </w:pPr>
      <w:r w:rsidRPr="0048160D">
        <w:rPr>
          <w:lang w:val="en"/>
        </w:rPr>
        <w:t>•</w:t>
      </w:r>
      <w:r w:rsidRPr="0048160D">
        <w:rPr>
          <w:lang w:val="en"/>
        </w:rPr>
        <w:tab/>
        <w:t>Participate in any tax authority formal consultation process where it is expected that the matter under consultation will have a material impact on the Group’s liability or the Group’s tax compliance management</w:t>
      </w:r>
    </w:p>
    <w:p w14:paraId="16C0D151" w14:textId="2EB8D297" w:rsidR="008B3AFE" w:rsidRPr="0048160D" w:rsidRDefault="008B3AFE" w:rsidP="008B3AFE">
      <w:pPr>
        <w:rPr>
          <w:lang w:val="en"/>
        </w:rPr>
      </w:pPr>
      <w:r w:rsidRPr="0048160D">
        <w:rPr>
          <w:lang w:val="en"/>
        </w:rPr>
        <w:t xml:space="preserve">This tax strategy was approved by the Board of Odfjell Technology </w:t>
      </w:r>
      <w:r w:rsidR="003F6A80">
        <w:rPr>
          <w:lang w:val="en"/>
        </w:rPr>
        <w:t>Ltd</w:t>
      </w:r>
      <w:r w:rsidRPr="0048160D">
        <w:rPr>
          <w:lang w:val="en"/>
        </w:rPr>
        <w:t xml:space="preserve"> on.</w:t>
      </w:r>
    </w:p>
    <w:bookmarkEnd w:id="0"/>
    <w:p w14:paraId="7E2ADECC" w14:textId="0330DC18" w:rsidR="00CB04EA" w:rsidRPr="00CB04EA" w:rsidRDefault="006D6560" w:rsidP="00CB04EA">
      <w:r>
        <w:rPr>
          <w:noProof/>
        </w:rPr>
        <w:drawing>
          <wp:inline distT="0" distB="0" distL="0" distR="0" wp14:anchorId="047827CA" wp14:editId="0D70BDD9">
            <wp:extent cx="1133475" cy="591741"/>
            <wp:effectExtent l="0" t="0" r="0" b="0"/>
            <wp:docPr id="1178794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9435" name="Picture 1" descr="A close-up of a signatur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47617" cy="599124"/>
                    </a:xfrm>
                    <a:prstGeom prst="rect">
                      <a:avLst/>
                    </a:prstGeom>
                  </pic:spPr>
                </pic:pic>
              </a:graphicData>
            </a:graphic>
          </wp:inline>
        </w:drawing>
      </w:r>
    </w:p>
    <w:p w14:paraId="49216711" w14:textId="77777777" w:rsidR="00825A07" w:rsidRPr="007668BF" w:rsidRDefault="008B3AFE" w:rsidP="007668BF">
      <w:pPr>
        <w:pStyle w:val="ReportSignature"/>
      </w:pPr>
      <w:r>
        <w:t>Helene Odfjell</w:t>
      </w:r>
    </w:p>
    <w:p w14:paraId="217BDFC7" w14:textId="77777777" w:rsidR="00825A07" w:rsidRDefault="008B3AFE" w:rsidP="00EC6A26">
      <w:r>
        <w:t>Chair</w:t>
      </w:r>
      <w:r w:rsidR="00DF2F66">
        <w:t>, Odfjell Technology</w:t>
      </w:r>
    </w:p>
    <w:p w14:paraId="28449EA6" w14:textId="14CFD0F0" w:rsidR="00DF2F66" w:rsidRPr="00EC6A26" w:rsidRDefault="00DF2F66" w:rsidP="00EC6A26"/>
    <w:sectPr w:rsidR="00DF2F66" w:rsidRPr="00EC6A26" w:rsidSect="000F1208">
      <w:headerReference w:type="default" r:id="rId11"/>
      <w:footerReference w:type="default" r:id="rId12"/>
      <w:headerReference w:type="first" r:id="rId13"/>
      <w:footerReference w:type="first" r:id="rId14"/>
      <w:pgSz w:w="11906" w:h="16838"/>
      <w:pgMar w:top="2552" w:right="1418" w:bottom="1701" w:left="1418" w:header="90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7D34" w14:textId="77777777" w:rsidR="00D11A36" w:rsidRDefault="00D11A36" w:rsidP="004648AA">
      <w:r>
        <w:separator/>
      </w:r>
    </w:p>
  </w:endnote>
  <w:endnote w:type="continuationSeparator" w:id="0">
    <w:p w14:paraId="7B6DE58E" w14:textId="77777777" w:rsidR="00D11A36" w:rsidRDefault="00D11A36" w:rsidP="0046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7793"/>
      <w:gridCol w:w="1277"/>
    </w:tblGrid>
    <w:tr w:rsidR="000F1208" w:rsidRPr="005001C8" w14:paraId="46EA7606" w14:textId="77777777" w:rsidTr="000F1208">
      <w:trPr>
        <w:trHeight w:val="227"/>
      </w:trPr>
      <w:tc>
        <w:tcPr>
          <w:tcW w:w="7793" w:type="dxa"/>
        </w:tcPr>
        <w:p w14:paraId="359737D1" w14:textId="17778122" w:rsidR="0017546D" w:rsidRPr="005001C8" w:rsidRDefault="0017546D" w:rsidP="000F1208">
          <w:pPr>
            <w:pStyle w:val="Footer"/>
          </w:pPr>
          <w:r w:rsidRPr="000F1208">
            <w:t>Document</w:t>
          </w:r>
          <w:r>
            <w:t xml:space="preserve"> No.: </w:t>
          </w:r>
          <w:fldSimple w:instr=" DOCPROPERTY &quot;DocumentNo&quot;  \* MERGEFORMAT ">
            <w:r w:rsidR="0017195A">
              <w:t>L</w:t>
            </w:r>
            <w:r w:rsidR="003D48A5">
              <w:t>0</w:t>
            </w:r>
            <w:r w:rsidR="0017195A">
              <w:t>-</w:t>
            </w:r>
            <w:r w:rsidR="003D48A5">
              <w:t>OTL</w:t>
            </w:r>
            <w:r w:rsidR="0017195A">
              <w:t>-0</w:t>
            </w:r>
            <w:r w:rsidR="003D48A5">
              <w:t>2</w:t>
            </w:r>
            <w:r w:rsidR="0017195A">
              <w:t>4</w:t>
            </w:r>
          </w:fldSimple>
        </w:p>
      </w:tc>
      <w:tc>
        <w:tcPr>
          <w:tcW w:w="1277" w:type="dxa"/>
        </w:tcPr>
        <w:p w14:paraId="0545195B" w14:textId="77777777" w:rsidR="0017546D" w:rsidRPr="005001C8" w:rsidRDefault="0017546D" w:rsidP="000F1208">
          <w:pPr>
            <w:pStyle w:val="Venstrebunntekst"/>
          </w:pPr>
          <w:r w:rsidRPr="005001C8">
            <w:t xml:space="preserve">Page </w:t>
          </w:r>
          <w:r w:rsidRPr="005001C8">
            <w:rPr>
              <w:rStyle w:val="PageNumber"/>
            </w:rPr>
            <w:fldChar w:fldCharType="begin"/>
          </w:r>
          <w:r w:rsidRPr="005001C8">
            <w:rPr>
              <w:rStyle w:val="PageNumber"/>
            </w:rPr>
            <w:instrText xml:space="preserve"> PAGE </w:instrText>
          </w:r>
          <w:r w:rsidRPr="005001C8">
            <w:rPr>
              <w:rStyle w:val="PageNumber"/>
            </w:rPr>
            <w:fldChar w:fldCharType="separate"/>
          </w:r>
          <w:r w:rsidR="00DF2F66">
            <w:rPr>
              <w:rStyle w:val="PageNumber"/>
              <w:noProof/>
            </w:rPr>
            <w:t>1</w:t>
          </w:r>
          <w:r w:rsidRPr="005001C8">
            <w:rPr>
              <w:rStyle w:val="PageNumber"/>
            </w:rPr>
            <w:fldChar w:fldCharType="end"/>
          </w:r>
          <w:r w:rsidRPr="005001C8">
            <w:t xml:space="preserve"> of </w:t>
          </w:r>
          <w:r w:rsidRPr="005001C8">
            <w:rPr>
              <w:rStyle w:val="PageNumber"/>
            </w:rPr>
            <w:fldChar w:fldCharType="begin"/>
          </w:r>
          <w:r w:rsidRPr="005001C8">
            <w:rPr>
              <w:rStyle w:val="PageNumber"/>
            </w:rPr>
            <w:instrText xml:space="preserve"> NUMPAGES </w:instrText>
          </w:r>
          <w:r w:rsidRPr="005001C8">
            <w:rPr>
              <w:rStyle w:val="PageNumber"/>
            </w:rPr>
            <w:fldChar w:fldCharType="separate"/>
          </w:r>
          <w:r w:rsidR="00DF2F66">
            <w:rPr>
              <w:rStyle w:val="PageNumber"/>
              <w:noProof/>
            </w:rPr>
            <w:t>1</w:t>
          </w:r>
          <w:r w:rsidRPr="005001C8">
            <w:rPr>
              <w:rStyle w:val="PageNumber"/>
            </w:rPr>
            <w:fldChar w:fldCharType="end"/>
          </w:r>
        </w:p>
      </w:tc>
    </w:tr>
  </w:tbl>
  <w:p w14:paraId="2BBEA656" w14:textId="77777777" w:rsidR="00023E3C" w:rsidRDefault="00023E3C" w:rsidP="000F1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Y="33"/>
      <w:tblW w:w="5000" w:type="pct"/>
      <w:tblCellMar>
        <w:left w:w="0" w:type="dxa"/>
        <w:right w:w="0" w:type="dxa"/>
      </w:tblCellMar>
      <w:tblLook w:val="04A0" w:firstRow="1" w:lastRow="0" w:firstColumn="1" w:lastColumn="0" w:noHBand="0" w:noVBand="1"/>
    </w:tblPr>
    <w:tblGrid>
      <w:gridCol w:w="9070"/>
    </w:tblGrid>
    <w:tr w:rsidR="005670E7" w:rsidRPr="005001C8" w14:paraId="61450120" w14:textId="77777777" w:rsidTr="005670E7">
      <w:trPr>
        <w:trHeight w:val="227"/>
      </w:trPr>
      <w:tc>
        <w:tcPr>
          <w:tcW w:w="9070" w:type="dxa"/>
        </w:tcPr>
        <w:p w14:paraId="1EA2A948" w14:textId="77777777" w:rsidR="005670E7" w:rsidRPr="00CB7E4A" w:rsidRDefault="005670E7" w:rsidP="000F1208">
          <w:pPr>
            <w:pStyle w:val="Footer"/>
          </w:pPr>
          <w:r w:rsidRPr="00CB7E4A">
            <w:t xml:space="preserve">Page </w:t>
          </w:r>
          <w:r w:rsidRPr="00CB7E4A">
            <w:rPr>
              <w:rStyle w:val="PageNumber"/>
            </w:rPr>
            <w:fldChar w:fldCharType="begin"/>
          </w:r>
          <w:r w:rsidRPr="00CB7E4A">
            <w:rPr>
              <w:rStyle w:val="PageNumber"/>
            </w:rPr>
            <w:instrText xml:space="preserve"> PAGE </w:instrText>
          </w:r>
          <w:r w:rsidRPr="00CB7E4A">
            <w:rPr>
              <w:rStyle w:val="PageNumber"/>
            </w:rPr>
            <w:fldChar w:fldCharType="separate"/>
          </w:r>
          <w:r>
            <w:rPr>
              <w:rStyle w:val="PageNumber"/>
              <w:noProof/>
            </w:rPr>
            <w:t>1</w:t>
          </w:r>
          <w:r w:rsidRPr="00CB7E4A">
            <w:rPr>
              <w:rStyle w:val="PageNumber"/>
            </w:rPr>
            <w:fldChar w:fldCharType="end"/>
          </w:r>
          <w:r w:rsidRPr="00CB7E4A">
            <w:t xml:space="preserve"> of </w:t>
          </w:r>
          <w:r w:rsidRPr="00CB7E4A">
            <w:rPr>
              <w:rStyle w:val="PageNumber"/>
            </w:rPr>
            <w:fldChar w:fldCharType="begin"/>
          </w:r>
          <w:r w:rsidRPr="00CB7E4A">
            <w:rPr>
              <w:rStyle w:val="PageNumber"/>
            </w:rPr>
            <w:instrText xml:space="preserve"> NUMPAGES </w:instrText>
          </w:r>
          <w:r w:rsidRPr="00CB7E4A">
            <w:rPr>
              <w:rStyle w:val="PageNumber"/>
            </w:rPr>
            <w:fldChar w:fldCharType="separate"/>
          </w:r>
          <w:r w:rsidR="00CE731C">
            <w:rPr>
              <w:rStyle w:val="PageNumber"/>
              <w:noProof/>
            </w:rPr>
            <w:t>1</w:t>
          </w:r>
          <w:r w:rsidRPr="00CB7E4A">
            <w:rPr>
              <w:rStyle w:val="PageNumber"/>
            </w:rPr>
            <w:fldChar w:fldCharType="end"/>
          </w:r>
        </w:p>
      </w:tc>
    </w:tr>
  </w:tbl>
  <w:p w14:paraId="2F491DE4" w14:textId="77777777" w:rsidR="00023E3C" w:rsidRDefault="00023E3C" w:rsidP="00CB7E4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5DD7" w14:textId="77777777" w:rsidR="00D11A36" w:rsidRDefault="00D11A36" w:rsidP="004648AA">
      <w:r>
        <w:separator/>
      </w:r>
    </w:p>
  </w:footnote>
  <w:footnote w:type="continuationSeparator" w:id="0">
    <w:p w14:paraId="55752978" w14:textId="77777777" w:rsidR="00D11A36" w:rsidRDefault="00D11A36" w:rsidP="0046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bottom w:w="57" w:type="dxa"/>
        <w:right w:w="0" w:type="dxa"/>
      </w:tblCellMar>
      <w:tblLook w:val="04A0" w:firstRow="1" w:lastRow="0" w:firstColumn="1" w:lastColumn="0" w:noHBand="0" w:noVBand="1"/>
    </w:tblPr>
    <w:tblGrid>
      <w:gridCol w:w="7084"/>
      <w:gridCol w:w="1986"/>
    </w:tblGrid>
    <w:tr w:rsidR="00E95730" w:rsidRPr="00041A4D" w14:paraId="484F3C00" w14:textId="77777777" w:rsidTr="00E95730">
      <w:trPr>
        <w:trHeight w:val="741"/>
        <w:jc w:val="center"/>
      </w:trPr>
      <w:tc>
        <w:tcPr>
          <w:tcW w:w="7084" w:type="dxa"/>
          <w:vAlign w:val="bottom"/>
        </w:tcPr>
        <w:p w14:paraId="1857E3A0" w14:textId="77777777" w:rsidR="005670E7" w:rsidRPr="00E61600" w:rsidRDefault="008B3AFE" w:rsidP="00E95730">
          <w:pPr>
            <w:pStyle w:val="TitleHeader"/>
          </w:pPr>
          <w:r>
            <w:t>Tax Strategy</w:t>
          </w:r>
        </w:p>
      </w:tc>
      <w:tc>
        <w:tcPr>
          <w:tcW w:w="1986" w:type="dxa"/>
          <w:vAlign w:val="bottom"/>
        </w:tcPr>
        <w:p w14:paraId="7EC435C1" w14:textId="77777777" w:rsidR="005670E7" w:rsidRPr="00041A4D" w:rsidRDefault="005670E7" w:rsidP="00E95730">
          <w:pPr>
            <w:pStyle w:val="Header"/>
            <w:jc w:val="right"/>
          </w:pPr>
          <w:r>
            <w:rPr>
              <w:noProof/>
              <w:lang w:val="nb-NO"/>
            </w:rPr>
            <w:drawing>
              <wp:inline distT="0" distB="0" distL="0" distR="0" wp14:anchorId="1FB6EA24" wp14:editId="47411BE7">
                <wp:extent cx="1192458" cy="447172"/>
                <wp:effectExtent l="0" t="0" r="190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 uri="{28A0092B-C50C-407E-A947-70E740481C1C}">
                              <a14:useLocalDpi xmlns:a14="http://schemas.microsoft.com/office/drawing/2010/main" val="0"/>
                            </a:ext>
                          </a:extLst>
                        </a:blip>
                        <a:stretch>
                          <a:fillRect/>
                        </a:stretch>
                      </pic:blipFill>
                      <pic:spPr>
                        <a:xfrm>
                          <a:off x="0" y="0"/>
                          <a:ext cx="1192458" cy="447172"/>
                        </a:xfrm>
                        <a:prstGeom prst="rect">
                          <a:avLst/>
                        </a:prstGeom>
                      </pic:spPr>
                    </pic:pic>
                  </a:graphicData>
                </a:graphic>
              </wp:inline>
            </w:drawing>
          </w:r>
        </w:p>
      </w:tc>
    </w:tr>
  </w:tbl>
  <w:p w14:paraId="22BDB4D4" w14:textId="77777777" w:rsidR="00023E3C" w:rsidRDefault="005670E7" w:rsidP="004648AA">
    <w:r w:rsidRPr="00AE6A34">
      <w:rPr>
        <w:noProof/>
        <w:lang w:val="nb-NO"/>
      </w:rPr>
      <w:drawing>
        <wp:anchor distT="0" distB="0" distL="114300" distR="114300" simplePos="0" relativeHeight="251661312" behindDoc="1" locked="0" layoutInCell="1" allowOverlap="1" wp14:anchorId="27D848EF" wp14:editId="2F72AE66">
          <wp:simplePos x="0" y="0"/>
          <wp:positionH relativeFrom="page">
            <wp:posOffset>0</wp:posOffset>
          </wp:positionH>
          <wp:positionV relativeFrom="page">
            <wp:posOffset>0</wp:posOffset>
          </wp:positionV>
          <wp:extent cx="7560000" cy="10692000"/>
          <wp:effectExtent l="0" t="0" r="9525" b="190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bottom w:w="57" w:type="dxa"/>
        <w:right w:w="0" w:type="dxa"/>
      </w:tblCellMar>
      <w:tblLook w:val="04A0" w:firstRow="1" w:lastRow="0" w:firstColumn="1" w:lastColumn="0" w:noHBand="0" w:noVBand="1"/>
    </w:tblPr>
    <w:tblGrid>
      <w:gridCol w:w="5529"/>
      <w:gridCol w:w="3541"/>
    </w:tblGrid>
    <w:tr w:rsidR="007E6B34" w:rsidRPr="00041A4D" w14:paraId="2364B5BE" w14:textId="77777777" w:rsidTr="00EC195F">
      <w:trPr>
        <w:trHeight w:val="711"/>
        <w:jc w:val="center"/>
      </w:trPr>
      <w:tc>
        <w:tcPr>
          <w:tcW w:w="5529" w:type="dxa"/>
          <w:vAlign w:val="bottom"/>
        </w:tcPr>
        <w:p w14:paraId="386B39AA" w14:textId="77777777" w:rsidR="007E6B34" w:rsidRPr="00041A4D" w:rsidRDefault="007E6B34" w:rsidP="00E95730">
          <w:pPr>
            <w:pStyle w:val="TitleHeader"/>
          </w:pPr>
        </w:p>
      </w:tc>
      <w:tc>
        <w:tcPr>
          <w:tcW w:w="3541" w:type="dxa"/>
        </w:tcPr>
        <w:p w14:paraId="04900035" w14:textId="77777777" w:rsidR="007E6B34" w:rsidRPr="00041A4D" w:rsidRDefault="00EC195F" w:rsidP="00CA7566">
          <w:pPr>
            <w:pStyle w:val="Header"/>
            <w:jc w:val="right"/>
          </w:pPr>
          <w:r>
            <w:rPr>
              <w:noProof/>
              <w:lang w:val="nb-NO"/>
            </w:rPr>
            <w:drawing>
              <wp:inline distT="0" distB="0" distL="0" distR="0" wp14:anchorId="5D995406" wp14:editId="5E394345">
                <wp:extent cx="1192458" cy="447172"/>
                <wp:effectExtent l="0" t="0" r="190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 uri="{28A0092B-C50C-407E-A947-70E740481C1C}">
                              <a14:useLocalDpi xmlns:a14="http://schemas.microsoft.com/office/drawing/2010/main" val="0"/>
                            </a:ext>
                          </a:extLst>
                        </a:blip>
                        <a:stretch>
                          <a:fillRect/>
                        </a:stretch>
                      </pic:blipFill>
                      <pic:spPr>
                        <a:xfrm>
                          <a:off x="0" y="0"/>
                          <a:ext cx="1192458" cy="447172"/>
                        </a:xfrm>
                        <a:prstGeom prst="rect">
                          <a:avLst/>
                        </a:prstGeom>
                      </pic:spPr>
                    </pic:pic>
                  </a:graphicData>
                </a:graphic>
              </wp:inline>
            </w:drawing>
          </w:r>
        </w:p>
      </w:tc>
    </w:tr>
  </w:tbl>
  <w:p w14:paraId="699CEE3F" w14:textId="77777777" w:rsidR="00023E3C" w:rsidRDefault="00634BB3" w:rsidP="004648AA">
    <w:pPr>
      <w:pStyle w:val="Header"/>
    </w:pPr>
    <w:r>
      <w:rPr>
        <w:noProof/>
        <w:lang w:val="nb-NO"/>
      </w:rPr>
      <w:drawing>
        <wp:anchor distT="0" distB="0" distL="114300" distR="114300" simplePos="0" relativeHeight="251659264" behindDoc="1" locked="0" layoutInCell="1" allowOverlap="1" wp14:anchorId="55D686C8" wp14:editId="21FD82E5">
          <wp:simplePos x="0" y="0"/>
          <wp:positionH relativeFrom="page">
            <wp:posOffset>616</wp:posOffset>
          </wp:positionH>
          <wp:positionV relativeFrom="page">
            <wp:posOffset>0</wp:posOffset>
          </wp:positionV>
          <wp:extent cx="7558768" cy="10692000"/>
          <wp:effectExtent l="0" t="0" r="10795" b="190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48A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F2E45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B2CF8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0E5C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3F63B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E4AD6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60E2C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A4A6E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561B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50CB3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550B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883264"/>
    <w:multiLevelType w:val="hybridMultilevel"/>
    <w:tmpl w:val="BE147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0F6C2E"/>
    <w:multiLevelType w:val="hybridMultilevel"/>
    <w:tmpl w:val="7F3A3904"/>
    <w:lvl w:ilvl="0" w:tplc="BE72CFE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04D38"/>
    <w:multiLevelType w:val="hybridMultilevel"/>
    <w:tmpl w:val="E4228C9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E55742"/>
    <w:multiLevelType w:val="hybridMultilevel"/>
    <w:tmpl w:val="7C00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1525C"/>
    <w:multiLevelType w:val="hybridMultilevel"/>
    <w:tmpl w:val="7CA080AA"/>
    <w:lvl w:ilvl="0" w:tplc="0809000F">
      <w:start w:val="1"/>
      <w:numFmt w:val="decimal"/>
      <w:lvlText w:val="%1."/>
      <w:lvlJc w:val="left"/>
      <w:pPr>
        <w:ind w:left="54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4A7C51"/>
    <w:multiLevelType w:val="hybridMultilevel"/>
    <w:tmpl w:val="F2FC3A0E"/>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7" w15:restartNumberingAfterBreak="0">
    <w:nsid w:val="46EE66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152DD6"/>
    <w:multiLevelType w:val="hybridMultilevel"/>
    <w:tmpl w:val="CC58006E"/>
    <w:lvl w:ilvl="0" w:tplc="CA10756A">
      <w:start w:val="1"/>
      <w:numFmt w:val="bullet"/>
      <w:pStyle w:val="List"/>
      <w:lvlText w:val=""/>
      <w:lvlJc w:val="left"/>
      <w:pPr>
        <w:ind w:left="720" w:hanging="360"/>
      </w:pPr>
      <w:rPr>
        <w:rFonts w:ascii="Symbol" w:hAnsi="Symbol" w:hint="default"/>
      </w:rPr>
    </w:lvl>
    <w:lvl w:ilvl="1" w:tplc="EE0619BC">
      <w:start w:val="1"/>
      <w:numFmt w:val="bullet"/>
      <w:pStyle w:val="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D3826"/>
    <w:multiLevelType w:val="hybridMultilevel"/>
    <w:tmpl w:val="757A5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27744A"/>
    <w:multiLevelType w:val="hybridMultilevel"/>
    <w:tmpl w:val="0A70AD24"/>
    <w:lvl w:ilvl="0" w:tplc="D6ECCC08">
      <w:numFmt w:val="bullet"/>
      <w:lvlText w:val="•"/>
      <w:lvlJc w:val="left"/>
      <w:pPr>
        <w:ind w:left="522" w:hanging="272"/>
      </w:pPr>
      <w:rPr>
        <w:rFonts w:ascii="Arial" w:eastAsia="Arial" w:hAnsi="Arial" w:cs="Arial" w:hint="default"/>
        <w:b w:val="0"/>
        <w:bCs w:val="0"/>
        <w:i w:val="0"/>
        <w:iCs w:val="0"/>
        <w:color w:val="0D0D0D"/>
        <w:w w:val="100"/>
        <w:sz w:val="22"/>
        <w:szCs w:val="22"/>
        <w:lang w:val="en-US" w:eastAsia="en-US" w:bidi="ar-SA"/>
      </w:rPr>
    </w:lvl>
    <w:lvl w:ilvl="1" w:tplc="0260662A">
      <w:numFmt w:val="bullet"/>
      <w:lvlText w:val="•"/>
      <w:lvlJc w:val="left"/>
      <w:pPr>
        <w:ind w:left="1516" w:hanging="272"/>
      </w:pPr>
      <w:rPr>
        <w:rFonts w:hint="default"/>
        <w:lang w:val="en-US" w:eastAsia="en-US" w:bidi="ar-SA"/>
      </w:rPr>
    </w:lvl>
    <w:lvl w:ilvl="2" w:tplc="F98E4394">
      <w:numFmt w:val="bullet"/>
      <w:lvlText w:val="•"/>
      <w:lvlJc w:val="left"/>
      <w:pPr>
        <w:ind w:left="2512" w:hanging="272"/>
      </w:pPr>
      <w:rPr>
        <w:rFonts w:hint="default"/>
        <w:lang w:val="en-US" w:eastAsia="en-US" w:bidi="ar-SA"/>
      </w:rPr>
    </w:lvl>
    <w:lvl w:ilvl="3" w:tplc="D84EA5FE">
      <w:numFmt w:val="bullet"/>
      <w:lvlText w:val="•"/>
      <w:lvlJc w:val="left"/>
      <w:pPr>
        <w:ind w:left="3508" w:hanging="272"/>
      </w:pPr>
      <w:rPr>
        <w:rFonts w:hint="default"/>
        <w:lang w:val="en-US" w:eastAsia="en-US" w:bidi="ar-SA"/>
      </w:rPr>
    </w:lvl>
    <w:lvl w:ilvl="4" w:tplc="6D4A29CA">
      <w:numFmt w:val="bullet"/>
      <w:lvlText w:val="•"/>
      <w:lvlJc w:val="left"/>
      <w:pPr>
        <w:ind w:left="4504" w:hanging="272"/>
      </w:pPr>
      <w:rPr>
        <w:rFonts w:hint="default"/>
        <w:lang w:val="en-US" w:eastAsia="en-US" w:bidi="ar-SA"/>
      </w:rPr>
    </w:lvl>
    <w:lvl w:ilvl="5" w:tplc="ACB8C06A">
      <w:numFmt w:val="bullet"/>
      <w:lvlText w:val="•"/>
      <w:lvlJc w:val="left"/>
      <w:pPr>
        <w:ind w:left="5500" w:hanging="272"/>
      </w:pPr>
      <w:rPr>
        <w:rFonts w:hint="default"/>
        <w:lang w:val="en-US" w:eastAsia="en-US" w:bidi="ar-SA"/>
      </w:rPr>
    </w:lvl>
    <w:lvl w:ilvl="6" w:tplc="3E1AF3FC">
      <w:numFmt w:val="bullet"/>
      <w:lvlText w:val="•"/>
      <w:lvlJc w:val="left"/>
      <w:pPr>
        <w:ind w:left="6496" w:hanging="272"/>
      </w:pPr>
      <w:rPr>
        <w:rFonts w:hint="default"/>
        <w:lang w:val="en-US" w:eastAsia="en-US" w:bidi="ar-SA"/>
      </w:rPr>
    </w:lvl>
    <w:lvl w:ilvl="7" w:tplc="CED077E4">
      <w:numFmt w:val="bullet"/>
      <w:lvlText w:val="•"/>
      <w:lvlJc w:val="left"/>
      <w:pPr>
        <w:ind w:left="7492" w:hanging="272"/>
      </w:pPr>
      <w:rPr>
        <w:rFonts w:hint="default"/>
        <w:lang w:val="en-US" w:eastAsia="en-US" w:bidi="ar-SA"/>
      </w:rPr>
    </w:lvl>
    <w:lvl w:ilvl="8" w:tplc="C0DE9100">
      <w:numFmt w:val="bullet"/>
      <w:lvlText w:val="•"/>
      <w:lvlJc w:val="left"/>
      <w:pPr>
        <w:ind w:left="8488" w:hanging="272"/>
      </w:pPr>
      <w:rPr>
        <w:rFonts w:hint="default"/>
        <w:lang w:val="en-US" w:eastAsia="en-US" w:bidi="ar-SA"/>
      </w:rPr>
    </w:lvl>
  </w:abstractNum>
  <w:abstractNum w:abstractNumId="21" w15:restartNumberingAfterBreak="0">
    <w:nsid w:val="519467F9"/>
    <w:multiLevelType w:val="multilevel"/>
    <w:tmpl w:val="8F68EE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2281E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633198"/>
    <w:multiLevelType w:val="hybridMultilevel"/>
    <w:tmpl w:val="DBFE5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F6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915387"/>
    <w:multiLevelType w:val="hybridMultilevel"/>
    <w:tmpl w:val="37C2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E516B"/>
    <w:multiLevelType w:val="hybridMultilevel"/>
    <w:tmpl w:val="72D84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0228071">
    <w:abstractNumId w:val="24"/>
  </w:num>
  <w:num w:numId="2" w16cid:durableId="98064337">
    <w:abstractNumId w:val="12"/>
  </w:num>
  <w:num w:numId="3" w16cid:durableId="1391347819">
    <w:abstractNumId w:val="22"/>
  </w:num>
  <w:num w:numId="4" w16cid:durableId="1918975797">
    <w:abstractNumId w:val="23"/>
  </w:num>
  <w:num w:numId="5" w16cid:durableId="1327320391">
    <w:abstractNumId w:val="19"/>
  </w:num>
  <w:num w:numId="6" w16cid:durableId="1341931066">
    <w:abstractNumId w:val="26"/>
  </w:num>
  <w:num w:numId="7" w16cid:durableId="1709643418">
    <w:abstractNumId w:val="11"/>
  </w:num>
  <w:num w:numId="8" w16cid:durableId="1630353332">
    <w:abstractNumId w:val="21"/>
  </w:num>
  <w:num w:numId="9" w16cid:durableId="852456980">
    <w:abstractNumId w:val="17"/>
  </w:num>
  <w:num w:numId="10" w16cid:durableId="1154109221">
    <w:abstractNumId w:val="1"/>
  </w:num>
  <w:num w:numId="11" w16cid:durableId="940650734">
    <w:abstractNumId w:val="2"/>
  </w:num>
  <w:num w:numId="12" w16cid:durableId="398594170">
    <w:abstractNumId w:val="3"/>
  </w:num>
  <w:num w:numId="13" w16cid:durableId="2061128058">
    <w:abstractNumId w:val="4"/>
  </w:num>
  <w:num w:numId="14" w16cid:durableId="446583562">
    <w:abstractNumId w:val="9"/>
  </w:num>
  <w:num w:numId="15" w16cid:durableId="1831406963">
    <w:abstractNumId w:val="5"/>
  </w:num>
  <w:num w:numId="16" w16cid:durableId="224342171">
    <w:abstractNumId w:val="6"/>
  </w:num>
  <w:num w:numId="17" w16cid:durableId="864945416">
    <w:abstractNumId w:val="7"/>
  </w:num>
  <w:num w:numId="18" w16cid:durableId="1954243174">
    <w:abstractNumId w:val="8"/>
  </w:num>
  <w:num w:numId="19" w16cid:durableId="1562714530">
    <w:abstractNumId w:val="10"/>
  </w:num>
  <w:num w:numId="20" w16cid:durableId="1517844460">
    <w:abstractNumId w:val="25"/>
  </w:num>
  <w:num w:numId="21" w16cid:durableId="1775588595">
    <w:abstractNumId w:val="16"/>
  </w:num>
  <w:num w:numId="22" w16cid:durableId="652684552">
    <w:abstractNumId w:val="18"/>
  </w:num>
  <w:num w:numId="23" w16cid:durableId="504825089">
    <w:abstractNumId w:val="14"/>
  </w:num>
  <w:num w:numId="24" w16cid:durableId="1694648342">
    <w:abstractNumId w:val="15"/>
  </w:num>
  <w:num w:numId="25" w16cid:durableId="1692801337">
    <w:abstractNumId w:val="13"/>
  </w:num>
  <w:num w:numId="26" w16cid:durableId="1935674402">
    <w:abstractNumId w:val="0"/>
  </w:num>
  <w:num w:numId="27" w16cid:durableId="18855549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10"/>
  <w:drawingGridVerticalSpacing w:val="299"/>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C1"/>
    <w:rsid w:val="00000806"/>
    <w:rsid w:val="00006BAE"/>
    <w:rsid w:val="0000761F"/>
    <w:rsid w:val="00023E3C"/>
    <w:rsid w:val="000344C9"/>
    <w:rsid w:val="00041A4D"/>
    <w:rsid w:val="00046B79"/>
    <w:rsid w:val="000505EF"/>
    <w:rsid w:val="00052D88"/>
    <w:rsid w:val="0006017A"/>
    <w:rsid w:val="00060908"/>
    <w:rsid w:val="00076D7B"/>
    <w:rsid w:val="000A5508"/>
    <w:rsid w:val="000F1208"/>
    <w:rsid w:val="0010750B"/>
    <w:rsid w:val="001126BC"/>
    <w:rsid w:val="00122ED8"/>
    <w:rsid w:val="00127E66"/>
    <w:rsid w:val="0013365E"/>
    <w:rsid w:val="00140FB1"/>
    <w:rsid w:val="001554C8"/>
    <w:rsid w:val="00162942"/>
    <w:rsid w:val="0016554D"/>
    <w:rsid w:val="0016763C"/>
    <w:rsid w:val="0017195A"/>
    <w:rsid w:val="0017546D"/>
    <w:rsid w:val="0019212D"/>
    <w:rsid w:val="0019316D"/>
    <w:rsid w:val="001A1A92"/>
    <w:rsid w:val="001A1C48"/>
    <w:rsid w:val="001A24C8"/>
    <w:rsid w:val="001A7C9A"/>
    <w:rsid w:val="001B430A"/>
    <w:rsid w:val="001C17E4"/>
    <w:rsid w:val="001C5955"/>
    <w:rsid w:val="001E2472"/>
    <w:rsid w:val="001E2BF9"/>
    <w:rsid w:val="001E53C3"/>
    <w:rsid w:val="001E6854"/>
    <w:rsid w:val="001F5971"/>
    <w:rsid w:val="002209B1"/>
    <w:rsid w:val="00222F37"/>
    <w:rsid w:val="00230136"/>
    <w:rsid w:val="00236145"/>
    <w:rsid w:val="0025171D"/>
    <w:rsid w:val="002562B7"/>
    <w:rsid w:val="00266456"/>
    <w:rsid w:val="00270CB1"/>
    <w:rsid w:val="00272AE7"/>
    <w:rsid w:val="002740C0"/>
    <w:rsid w:val="00275307"/>
    <w:rsid w:val="002A470C"/>
    <w:rsid w:val="002A4FC1"/>
    <w:rsid w:val="002C62A3"/>
    <w:rsid w:val="002E0336"/>
    <w:rsid w:val="002E4899"/>
    <w:rsid w:val="0030586F"/>
    <w:rsid w:val="00307B57"/>
    <w:rsid w:val="003114EF"/>
    <w:rsid w:val="00314429"/>
    <w:rsid w:val="00317535"/>
    <w:rsid w:val="00320040"/>
    <w:rsid w:val="00324505"/>
    <w:rsid w:val="00324E88"/>
    <w:rsid w:val="003312AB"/>
    <w:rsid w:val="003361D3"/>
    <w:rsid w:val="00353B31"/>
    <w:rsid w:val="00360200"/>
    <w:rsid w:val="0036325A"/>
    <w:rsid w:val="00382979"/>
    <w:rsid w:val="00384B18"/>
    <w:rsid w:val="00385431"/>
    <w:rsid w:val="00396F13"/>
    <w:rsid w:val="003A39DA"/>
    <w:rsid w:val="003B415E"/>
    <w:rsid w:val="003B69D0"/>
    <w:rsid w:val="003C0E83"/>
    <w:rsid w:val="003D24B6"/>
    <w:rsid w:val="003D3102"/>
    <w:rsid w:val="003D48A5"/>
    <w:rsid w:val="003D4B2D"/>
    <w:rsid w:val="003E0120"/>
    <w:rsid w:val="003F2622"/>
    <w:rsid w:val="003F6A80"/>
    <w:rsid w:val="004017E3"/>
    <w:rsid w:val="004052FD"/>
    <w:rsid w:val="00405EDC"/>
    <w:rsid w:val="00405EE8"/>
    <w:rsid w:val="00431D47"/>
    <w:rsid w:val="00432693"/>
    <w:rsid w:val="004415A5"/>
    <w:rsid w:val="00450B77"/>
    <w:rsid w:val="00454DA1"/>
    <w:rsid w:val="004645AE"/>
    <w:rsid w:val="004648AA"/>
    <w:rsid w:val="00473C48"/>
    <w:rsid w:val="0047499C"/>
    <w:rsid w:val="0049483D"/>
    <w:rsid w:val="004B068D"/>
    <w:rsid w:val="004C0338"/>
    <w:rsid w:val="004C1858"/>
    <w:rsid w:val="004C7A44"/>
    <w:rsid w:val="004D3065"/>
    <w:rsid w:val="004F5D26"/>
    <w:rsid w:val="005001C8"/>
    <w:rsid w:val="005313B6"/>
    <w:rsid w:val="005324DE"/>
    <w:rsid w:val="00556A4C"/>
    <w:rsid w:val="00563675"/>
    <w:rsid w:val="005640E7"/>
    <w:rsid w:val="005670E7"/>
    <w:rsid w:val="005733FA"/>
    <w:rsid w:val="0058276F"/>
    <w:rsid w:val="00583273"/>
    <w:rsid w:val="005A6263"/>
    <w:rsid w:val="005B7A38"/>
    <w:rsid w:val="005D2A14"/>
    <w:rsid w:val="006076B8"/>
    <w:rsid w:val="00610360"/>
    <w:rsid w:val="0062122C"/>
    <w:rsid w:val="00621ED9"/>
    <w:rsid w:val="006233B8"/>
    <w:rsid w:val="00626A70"/>
    <w:rsid w:val="00634BB3"/>
    <w:rsid w:val="00640380"/>
    <w:rsid w:val="006527C5"/>
    <w:rsid w:val="00655540"/>
    <w:rsid w:val="006658AA"/>
    <w:rsid w:val="00677FF0"/>
    <w:rsid w:val="0068570F"/>
    <w:rsid w:val="00695860"/>
    <w:rsid w:val="006A2394"/>
    <w:rsid w:val="006A5DDF"/>
    <w:rsid w:val="006B6AE8"/>
    <w:rsid w:val="006C35C8"/>
    <w:rsid w:val="006D6560"/>
    <w:rsid w:val="006F2F85"/>
    <w:rsid w:val="006F46A1"/>
    <w:rsid w:val="00702DEC"/>
    <w:rsid w:val="007249E7"/>
    <w:rsid w:val="007369AB"/>
    <w:rsid w:val="00745675"/>
    <w:rsid w:val="007668BF"/>
    <w:rsid w:val="00767AFB"/>
    <w:rsid w:val="00792249"/>
    <w:rsid w:val="00793920"/>
    <w:rsid w:val="007A3C70"/>
    <w:rsid w:val="007B10A4"/>
    <w:rsid w:val="007B4897"/>
    <w:rsid w:val="007C07DE"/>
    <w:rsid w:val="007C7DE2"/>
    <w:rsid w:val="007D319F"/>
    <w:rsid w:val="007D6F7E"/>
    <w:rsid w:val="007E486C"/>
    <w:rsid w:val="007E6B34"/>
    <w:rsid w:val="007F3D81"/>
    <w:rsid w:val="00802CC5"/>
    <w:rsid w:val="00815DBC"/>
    <w:rsid w:val="00823D30"/>
    <w:rsid w:val="00824C87"/>
    <w:rsid w:val="00825A07"/>
    <w:rsid w:val="00832249"/>
    <w:rsid w:val="00837270"/>
    <w:rsid w:val="00847544"/>
    <w:rsid w:val="00885F65"/>
    <w:rsid w:val="008A1197"/>
    <w:rsid w:val="008A3C43"/>
    <w:rsid w:val="008A7A76"/>
    <w:rsid w:val="008B3AFE"/>
    <w:rsid w:val="008C35ED"/>
    <w:rsid w:val="008C5C5C"/>
    <w:rsid w:val="008C6668"/>
    <w:rsid w:val="00915C4E"/>
    <w:rsid w:val="009268D4"/>
    <w:rsid w:val="00935DA6"/>
    <w:rsid w:val="00960524"/>
    <w:rsid w:val="0098507A"/>
    <w:rsid w:val="00987AEF"/>
    <w:rsid w:val="009A11AF"/>
    <w:rsid w:val="009A13AA"/>
    <w:rsid w:val="009B7937"/>
    <w:rsid w:val="009C3963"/>
    <w:rsid w:val="009C6360"/>
    <w:rsid w:val="009D7417"/>
    <w:rsid w:val="009F2D45"/>
    <w:rsid w:val="009F3A9F"/>
    <w:rsid w:val="00A13866"/>
    <w:rsid w:val="00A219EC"/>
    <w:rsid w:val="00A27CAE"/>
    <w:rsid w:val="00A8001D"/>
    <w:rsid w:val="00A81C22"/>
    <w:rsid w:val="00A82A51"/>
    <w:rsid w:val="00A87181"/>
    <w:rsid w:val="00A936DA"/>
    <w:rsid w:val="00AA79DF"/>
    <w:rsid w:val="00AB1F13"/>
    <w:rsid w:val="00AC34E6"/>
    <w:rsid w:val="00AD319D"/>
    <w:rsid w:val="00AF176C"/>
    <w:rsid w:val="00AF5C6F"/>
    <w:rsid w:val="00B068F1"/>
    <w:rsid w:val="00B17DCE"/>
    <w:rsid w:val="00B237D8"/>
    <w:rsid w:val="00B26DDD"/>
    <w:rsid w:val="00B43F2D"/>
    <w:rsid w:val="00B9217C"/>
    <w:rsid w:val="00BB584A"/>
    <w:rsid w:val="00BC21C1"/>
    <w:rsid w:val="00BC2E63"/>
    <w:rsid w:val="00BD6C43"/>
    <w:rsid w:val="00BE6967"/>
    <w:rsid w:val="00C0468C"/>
    <w:rsid w:val="00C0641B"/>
    <w:rsid w:val="00C131A5"/>
    <w:rsid w:val="00C153DF"/>
    <w:rsid w:val="00C17467"/>
    <w:rsid w:val="00C2123F"/>
    <w:rsid w:val="00C230C2"/>
    <w:rsid w:val="00C30BB5"/>
    <w:rsid w:val="00C43365"/>
    <w:rsid w:val="00C51B9E"/>
    <w:rsid w:val="00C55FB9"/>
    <w:rsid w:val="00C63B8E"/>
    <w:rsid w:val="00C73824"/>
    <w:rsid w:val="00C929BE"/>
    <w:rsid w:val="00C94C21"/>
    <w:rsid w:val="00CA1089"/>
    <w:rsid w:val="00CA7566"/>
    <w:rsid w:val="00CB04EA"/>
    <w:rsid w:val="00CB0EF3"/>
    <w:rsid w:val="00CB191F"/>
    <w:rsid w:val="00CB61EB"/>
    <w:rsid w:val="00CB7E4A"/>
    <w:rsid w:val="00CE1150"/>
    <w:rsid w:val="00CE731C"/>
    <w:rsid w:val="00D03389"/>
    <w:rsid w:val="00D05029"/>
    <w:rsid w:val="00D11A36"/>
    <w:rsid w:val="00D21C22"/>
    <w:rsid w:val="00D324C9"/>
    <w:rsid w:val="00D37D09"/>
    <w:rsid w:val="00D414FE"/>
    <w:rsid w:val="00D454AC"/>
    <w:rsid w:val="00D53270"/>
    <w:rsid w:val="00D765B7"/>
    <w:rsid w:val="00DA0A5D"/>
    <w:rsid w:val="00DC76C9"/>
    <w:rsid w:val="00DE1C94"/>
    <w:rsid w:val="00DF2F66"/>
    <w:rsid w:val="00E03DF5"/>
    <w:rsid w:val="00E1115D"/>
    <w:rsid w:val="00E12E3D"/>
    <w:rsid w:val="00E16345"/>
    <w:rsid w:val="00E247C8"/>
    <w:rsid w:val="00E469D3"/>
    <w:rsid w:val="00E535BA"/>
    <w:rsid w:val="00E61600"/>
    <w:rsid w:val="00E649B4"/>
    <w:rsid w:val="00E65C6F"/>
    <w:rsid w:val="00E95730"/>
    <w:rsid w:val="00EA674E"/>
    <w:rsid w:val="00EC195F"/>
    <w:rsid w:val="00EC6A26"/>
    <w:rsid w:val="00ED5D86"/>
    <w:rsid w:val="00ED6500"/>
    <w:rsid w:val="00EF6C03"/>
    <w:rsid w:val="00F07673"/>
    <w:rsid w:val="00F15C3C"/>
    <w:rsid w:val="00F32744"/>
    <w:rsid w:val="00F66C7F"/>
    <w:rsid w:val="00F80577"/>
    <w:rsid w:val="00F91178"/>
    <w:rsid w:val="00FA0748"/>
    <w:rsid w:val="00FA23CB"/>
    <w:rsid w:val="00FB68AA"/>
    <w:rsid w:val="00FD4428"/>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A7017"/>
  <w15:chartTrackingRefBased/>
  <w15:docId w15:val="{94C528D5-5F71-48FD-8C7A-F6B6F4DA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E95730"/>
    <w:pPr>
      <w:snapToGrid w:val="0"/>
      <w:spacing w:after="180" w:line="264" w:lineRule="auto"/>
      <w:jc w:val="both"/>
    </w:pPr>
    <w:rPr>
      <w:rFonts w:ascii="Arial" w:hAnsi="Arial" w:cs="Arial"/>
      <w:color w:val="232323" w:themeColor="text2"/>
      <w:sz w:val="22"/>
      <w:lang w:val="en-GB" w:eastAsia="nb-NO"/>
    </w:rPr>
  </w:style>
  <w:style w:type="paragraph" w:styleId="Heading1">
    <w:name w:val="heading 1"/>
    <w:basedOn w:val="Normal"/>
    <w:next w:val="Normal"/>
    <w:link w:val="Heading1Char"/>
    <w:uiPriority w:val="9"/>
    <w:qFormat/>
    <w:rsid w:val="007668BF"/>
    <w:pPr>
      <w:keepNext/>
      <w:numPr>
        <w:numId w:val="8"/>
      </w:numPr>
      <w:spacing w:before="720"/>
      <w:ind w:left="709" w:hanging="709"/>
      <w:outlineLvl w:val="0"/>
    </w:pPr>
    <w:rPr>
      <w:b/>
      <w:bCs/>
      <w:caps/>
      <w:color w:val="00917C" w:themeColor="text1"/>
      <w:kern w:val="32"/>
      <w:szCs w:val="32"/>
    </w:rPr>
  </w:style>
  <w:style w:type="paragraph" w:styleId="Heading2">
    <w:name w:val="heading 2"/>
    <w:basedOn w:val="Normal"/>
    <w:next w:val="Normal"/>
    <w:link w:val="Heading2Char"/>
    <w:uiPriority w:val="9"/>
    <w:qFormat/>
    <w:rsid w:val="004C1858"/>
    <w:pPr>
      <w:keepNext/>
      <w:numPr>
        <w:ilvl w:val="1"/>
        <w:numId w:val="8"/>
      </w:numPr>
      <w:spacing w:before="240" w:after="120"/>
      <w:ind w:left="709" w:hanging="709"/>
      <w:outlineLvl w:val="1"/>
    </w:pPr>
    <w:rPr>
      <w:b/>
      <w:bCs/>
      <w:iCs/>
      <w:szCs w:val="28"/>
    </w:rPr>
  </w:style>
  <w:style w:type="paragraph" w:styleId="Heading3">
    <w:name w:val="heading 3"/>
    <w:basedOn w:val="Normal"/>
    <w:next w:val="Normal"/>
    <w:link w:val="Heading3Char"/>
    <w:uiPriority w:val="9"/>
    <w:qFormat/>
    <w:rsid w:val="00F91178"/>
    <w:pPr>
      <w:keepNext/>
      <w:spacing w:before="240" w:after="0"/>
      <w:outlineLvl w:val="2"/>
    </w:pPr>
    <w:rPr>
      <w:rFonts w:eastAsia="Malgun Gothic"/>
      <w:b/>
      <w:szCs w:val="26"/>
    </w:rPr>
  </w:style>
  <w:style w:type="paragraph" w:styleId="Heading4">
    <w:name w:val="heading 4"/>
    <w:basedOn w:val="Normal"/>
    <w:next w:val="Normal"/>
    <w:link w:val="Heading4Char"/>
    <w:uiPriority w:val="9"/>
    <w:rsid w:val="005B7A38"/>
    <w:pPr>
      <w:keepNext/>
      <w:numPr>
        <w:ilvl w:val="3"/>
        <w:numId w:val="8"/>
      </w:numPr>
      <w:spacing w:before="240" w:after="60"/>
      <w:outlineLvl w:val="3"/>
    </w:pPr>
    <w:rPr>
      <w:rFonts w:ascii="Calibri" w:eastAsia="Malgun Gothic" w:hAnsi="Calibri" w:cs="Times New Roman"/>
      <w:b/>
      <w:bCs/>
      <w:sz w:val="28"/>
      <w:szCs w:val="28"/>
    </w:rPr>
  </w:style>
  <w:style w:type="paragraph" w:styleId="Heading5">
    <w:name w:val="heading 5"/>
    <w:basedOn w:val="Normal"/>
    <w:next w:val="Normal"/>
    <w:link w:val="Heading5Char"/>
    <w:uiPriority w:val="9"/>
    <w:rsid w:val="005B7A38"/>
    <w:pPr>
      <w:numPr>
        <w:ilvl w:val="4"/>
        <w:numId w:val="8"/>
      </w:numPr>
      <w:spacing w:before="240" w:after="60"/>
      <w:outlineLvl w:val="4"/>
    </w:pPr>
    <w:rPr>
      <w:rFonts w:ascii="Calibri" w:eastAsia="Malgun Gothic" w:hAnsi="Calibri" w:cs="Times New Roman"/>
      <w:b/>
      <w:bCs/>
      <w:i/>
      <w:iCs/>
      <w:sz w:val="26"/>
      <w:szCs w:val="26"/>
    </w:rPr>
  </w:style>
  <w:style w:type="paragraph" w:styleId="Heading6">
    <w:name w:val="heading 6"/>
    <w:basedOn w:val="Normal"/>
    <w:next w:val="Normal"/>
    <w:link w:val="Heading6Char"/>
    <w:uiPriority w:val="9"/>
    <w:rsid w:val="005B7A38"/>
    <w:pPr>
      <w:numPr>
        <w:ilvl w:val="5"/>
        <w:numId w:val="8"/>
      </w:numPr>
      <w:spacing w:before="240" w:after="60"/>
      <w:outlineLvl w:val="5"/>
    </w:pPr>
    <w:rPr>
      <w:rFonts w:ascii="Calibri" w:eastAsia="Malgun Gothic" w:hAnsi="Calibri" w:cs="Times New Roman"/>
      <w:b/>
      <w:bCs/>
      <w:szCs w:val="22"/>
    </w:rPr>
  </w:style>
  <w:style w:type="paragraph" w:styleId="Heading7">
    <w:name w:val="heading 7"/>
    <w:basedOn w:val="Normal"/>
    <w:next w:val="Normal"/>
    <w:link w:val="Heading7Char"/>
    <w:uiPriority w:val="9"/>
    <w:rsid w:val="005B7A38"/>
    <w:pPr>
      <w:numPr>
        <w:ilvl w:val="6"/>
        <w:numId w:val="8"/>
      </w:numPr>
      <w:spacing w:before="240" w:after="60"/>
      <w:outlineLvl w:val="6"/>
    </w:pPr>
    <w:rPr>
      <w:rFonts w:ascii="Calibri" w:eastAsia="Malgun Gothic" w:hAnsi="Calibri" w:cs="Times New Roman"/>
      <w:sz w:val="24"/>
      <w:szCs w:val="24"/>
    </w:rPr>
  </w:style>
  <w:style w:type="paragraph" w:styleId="Heading8">
    <w:name w:val="heading 8"/>
    <w:basedOn w:val="Normal"/>
    <w:next w:val="Normal"/>
    <w:link w:val="Heading8Char"/>
    <w:uiPriority w:val="9"/>
    <w:rsid w:val="005B7A38"/>
    <w:pPr>
      <w:numPr>
        <w:ilvl w:val="7"/>
        <w:numId w:val="8"/>
      </w:numPr>
      <w:spacing w:before="240" w:after="60"/>
      <w:outlineLvl w:val="7"/>
    </w:pPr>
    <w:rPr>
      <w:rFonts w:ascii="Calibri" w:eastAsia="Malgun Gothic" w:hAnsi="Calibri" w:cs="Times New Roman"/>
      <w:i/>
      <w:iCs/>
      <w:sz w:val="24"/>
      <w:szCs w:val="24"/>
    </w:rPr>
  </w:style>
  <w:style w:type="paragraph" w:styleId="Heading9">
    <w:name w:val="heading 9"/>
    <w:basedOn w:val="Normal"/>
    <w:next w:val="Normal"/>
    <w:link w:val="Heading9Char"/>
    <w:uiPriority w:val="9"/>
    <w:rsid w:val="005B7A38"/>
    <w:pPr>
      <w:numPr>
        <w:ilvl w:val="8"/>
        <w:numId w:val="8"/>
      </w:numPr>
      <w:spacing w:before="240" w:after="60"/>
      <w:outlineLvl w:val="8"/>
    </w:pPr>
    <w:rPr>
      <w:rFonts w:ascii="Cambria" w:eastAsia="Malgun Gothic"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3270"/>
    <w:pPr>
      <w:tabs>
        <w:tab w:val="center" w:pos="4153"/>
        <w:tab w:val="right" w:pos="8306"/>
      </w:tabs>
    </w:pPr>
  </w:style>
  <w:style w:type="paragraph" w:styleId="Footer">
    <w:name w:val="footer"/>
    <w:basedOn w:val="Normal"/>
    <w:link w:val="FooterChar"/>
    <w:rsid w:val="000F1208"/>
    <w:pPr>
      <w:tabs>
        <w:tab w:val="left" w:pos="2769"/>
      </w:tabs>
      <w:spacing w:after="0"/>
      <w:jc w:val="left"/>
    </w:pPr>
    <w:rPr>
      <w:color w:val="FFFFFF" w:themeColor="background1"/>
      <w:sz w:val="16"/>
      <w:szCs w:val="16"/>
    </w:rPr>
  </w:style>
  <w:style w:type="character" w:styleId="PageNumber">
    <w:name w:val="page number"/>
    <w:basedOn w:val="DefaultParagraphFont"/>
    <w:rsid w:val="00D53270"/>
  </w:style>
  <w:style w:type="character" w:customStyle="1" w:styleId="HeaderChar">
    <w:name w:val="Header Char"/>
    <w:link w:val="Header"/>
    <w:rsid w:val="001A7C9A"/>
    <w:rPr>
      <w:rFonts w:ascii="Century Gothic" w:hAnsi="Century Gothic"/>
      <w:sz w:val="22"/>
      <w:lang w:val="nb-NO" w:eastAsia="nb-NO"/>
    </w:rPr>
  </w:style>
  <w:style w:type="table" w:styleId="TableGrid">
    <w:name w:val="Table Grid"/>
    <w:basedOn w:val="TableNormal"/>
    <w:uiPriority w:val="59"/>
    <w:rsid w:val="0098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30586F"/>
    <w:pPr>
      <w:spacing w:before="100" w:beforeAutospacing="1" w:after="400"/>
    </w:pPr>
    <w:rPr>
      <w:rFonts w:ascii="Times New Roman" w:eastAsia="Batang" w:hAnsi="Times New Roman"/>
      <w:sz w:val="24"/>
      <w:szCs w:val="24"/>
      <w:lang w:eastAsia="ja-JP"/>
    </w:rPr>
  </w:style>
  <w:style w:type="character" w:customStyle="1" w:styleId="FooterChar">
    <w:name w:val="Footer Char"/>
    <w:link w:val="Footer"/>
    <w:rsid w:val="000F1208"/>
    <w:rPr>
      <w:rFonts w:ascii="Arial" w:hAnsi="Arial" w:cs="Arial"/>
      <w:color w:val="FFFFFF" w:themeColor="background1"/>
      <w:sz w:val="16"/>
      <w:szCs w:val="16"/>
      <w:lang w:val="en-GB" w:eastAsia="nb-NO"/>
    </w:rPr>
  </w:style>
  <w:style w:type="paragraph" w:styleId="BalloonText">
    <w:name w:val="Balloon Text"/>
    <w:basedOn w:val="Normal"/>
    <w:link w:val="BalloonTextChar"/>
    <w:uiPriority w:val="99"/>
    <w:semiHidden/>
    <w:unhideWhenUsed/>
    <w:rsid w:val="00677FF0"/>
    <w:rPr>
      <w:rFonts w:ascii="Tahoma" w:hAnsi="Tahoma" w:cs="Tahoma"/>
      <w:sz w:val="16"/>
      <w:szCs w:val="16"/>
    </w:rPr>
  </w:style>
  <w:style w:type="character" w:customStyle="1" w:styleId="BalloonTextChar">
    <w:name w:val="Balloon Text Char"/>
    <w:link w:val="BalloonText"/>
    <w:uiPriority w:val="99"/>
    <w:semiHidden/>
    <w:rsid w:val="00677FF0"/>
    <w:rPr>
      <w:rFonts w:ascii="Tahoma" w:hAnsi="Tahoma" w:cs="Tahoma"/>
      <w:sz w:val="16"/>
      <w:szCs w:val="16"/>
      <w:lang w:val="nb-NO" w:eastAsia="nb-NO"/>
    </w:rPr>
  </w:style>
  <w:style w:type="character" w:customStyle="1" w:styleId="Heading1Char">
    <w:name w:val="Heading 1 Char"/>
    <w:link w:val="Heading1"/>
    <w:uiPriority w:val="9"/>
    <w:rsid w:val="007668BF"/>
    <w:rPr>
      <w:rFonts w:ascii="Arial" w:hAnsi="Arial" w:cs="Arial"/>
      <w:b/>
      <w:bCs/>
      <w:caps/>
      <w:color w:val="00917C" w:themeColor="text1"/>
      <w:kern w:val="32"/>
      <w:sz w:val="22"/>
      <w:szCs w:val="32"/>
      <w:lang w:val="en-GB" w:eastAsia="nb-NO"/>
    </w:rPr>
  </w:style>
  <w:style w:type="character" w:customStyle="1" w:styleId="Heading2Char">
    <w:name w:val="Heading 2 Char"/>
    <w:link w:val="Heading2"/>
    <w:uiPriority w:val="9"/>
    <w:rsid w:val="004C1858"/>
    <w:rPr>
      <w:rFonts w:ascii="Arial" w:hAnsi="Arial" w:cs="Arial"/>
      <w:b/>
      <w:bCs/>
      <w:iCs/>
      <w:color w:val="232323" w:themeColor="text2"/>
      <w:sz w:val="22"/>
      <w:szCs w:val="28"/>
      <w:lang w:val="en-GB" w:eastAsia="nb-NO"/>
    </w:rPr>
  </w:style>
  <w:style w:type="character" w:customStyle="1" w:styleId="Heading3Char">
    <w:name w:val="Heading 3 Char"/>
    <w:link w:val="Heading3"/>
    <w:uiPriority w:val="9"/>
    <w:rsid w:val="00F91178"/>
    <w:rPr>
      <w:rFonts w:ascii="Arial" w:eastAsia="Malgun Gothic" w:hAnsi="Arial" w:cs="Arial"/>
      <w:b/>
      <w:color w:val="232323" w:themeColor="text2"/>
      <w:sz w:val="22"/>
      <w:szCs w:val="26"/>
      <w:lang w:val="en-GB" w:eastAsia="nb-NO"/>
    </w:rPr>
  </w:style>
  <w:style w:type="character" w:customStyle="1" w:styleId="Heading4Char">
    <w:name w:val="Heading 4 Char"/>
    <w:link w:val="Heading4"/>
    <w:uiPriority w:val="9"/>
    <w:rsid w:val="005B7A38"/>
    <w:rPr>
      <w:rFonts w:ascii="Calibri" w:eastAsia="Malgun Gothic" w:hAnsi="Calibri" w:cs="Times New Roman"/>
      <w:b/>
      <w:bCs/>
      <w:sz w:val="28"/>
      <w:szCs w:val="28"/>
      <w:lang w:val="nb-NO" w:eastAsia="nb-NO"/>
    </w:rPr>
  </w:style>
  <w:style w:type="character" w:customStyle="1" w:styleId="Heading5Char">
    <w:name w:val="Heading 5 Char"/>
    <w:link w:val="Heading5"/>
    <w:uiPriority w:val="9"/>
    <w:semiHidden/>
    <w:rsid w:val="005B7A38"/>
    <w:rPr>
      <w:rFonts w:ascii="Calibri" w:eastAsia="Malgun Gothic" w:hAnsi="Calibri" w:cs="Times New Roman"/>
      <w:b/>
      <w:bCs/>
      <w:i/>
      <w:iCs/>
      <w:sz w:val="26"/>
      <w:szCs w:val="26"/>
      <w:lang w:val="nb-NO" w:eastAsia="nb-NO"/>
    </w:rPr>
  </w:style>
  <w:style w:type="character" w:customStyle="1" w:styleId="Heading6Char">
    <w:name w:val="Heading 6 Char"/>
    <w:link w:val="Heading6"/>
    <w:uiPriority w:val="9"/>
    <w:semiHidden/>
    <w:rsid w:val="005B7A38"/>
    <w:rPr>
      <w:rFonts w:ascii="Calibri" w:eastAsia="Malgun Gothic" w:hAnsi="Calibri" w:cs="Times New Roman"/>
      <w:b/>
      <w:bCs/>
      <w:sz w:val="22"/>
      <w:szCs w:val="22"/>
      <w:lang w:val="nb-NO" w:eastAsia="nb-NO"/>
    </w:rPr>
  </w:style>
  <w:style w:type="character" w:customStyle="1" w:styleId="Heading7Char">
    <w:name w:val="Heading 7 Char"/>
    <w:link w:val="Heading7"/>
    <w:uiPriority w:val="9"/>
    <w:semiHidden/>
    <w:rsid w:val="005B7A38"/>
    <w:rPr>
      <w:rFonts w:ascii="Calibri" w:eastAsia="Malgun Gothic" w:hAnsi="Calibri" w:cs="Times New Roman"/>
      <w:sz w:val="24"/>
      <w:szCs w:val="24"/>
      <w:lang w:val="nb-NO" w:eastAsia="nb-NO"/>
    </w:rPr>
  </w:style>
  <w:style w:type="character" w:customStyle="1" w:styleId="Heading8Char">
    <w:name w:val="Heading 8 Char"/>
    <w:link w:val="Heading8"/>
    <w:uiPriority w:val="9"/>
    <w:semiHidden/>
    <w:rsid w:val="005B7A38"/>
    <w:rPr>
      <w:rFonts w:ascii="Calibri" w:eastAsia="Malgun Gothic" w:hAnsi="Calibri" w:cs="Times New Roman"/>
      <w:i/>
      <w:iCs/>
      <w:sz w:val="24"/>
      <w:szCs w:val="24"/>
      <w:lang w:val="nb-NO" w:eastAsia="nb-NO"/>
    </w:rPr>
  </w:style>
  <w:style w:type="character" w:customStyle="1" w:styleId="Heading9Char">
    <w:name w:val="Heading 9 Char"/>
    <w:link w:val="Heading9"/>
    <w:uiPriority w:val="9"/>
    <w:semiHidden/>
    <w:rsid w:val="005B7A38"/>
    <w:rPr>
      <w:rFonts w:ascii="Cambria" w:eastAsia="Malgun Gothic" w:hAnsi="Cambria" w:cs="Times New Roman"/>
      <w:sz w:val="22"/>
      <w:szCs w:val="22"/>
      <w:lang w:val="nb-NO" w:eastAsia="nb-NO"/>
    </w:rPr>
  </w:style>
  <w:style w:type="paragraph" w:customStyle="1" w:styleId="TitleHeader">
    <w:name w:val="TitleHeader"/>
    <w:basedOn w:val="Header"/>
    <w:qFormat/>
    <w:rsid w:val="00E95730"/>
    <w:pPr>
      <w:tabs>
        <w:tab w:val="clear" w:pos="4153"/>
        <w:tab w:val="clear" w:pos="8306"/>
        <w:tab w:val="left" w:pos="1857"/>
        <w:tab w:val="left" w:pos="2444"/>
      </w:tabs>
      <w:ind w:left="8306" w:hanging="8306"/>
      <w:jc w:val="left"/>
    </w:pPr>
    <w:rPr>
      <w:b/>
      <w:bCs/>
      <w:caps/>
      <w:color w:val="FFFFFF" w:themeColor="background1"/>
      <w:sz w:val="32"/>
      <w:szCs w:val="32"/>
      <w:lang w:val="en-US"/>
    </w:rPr>
  </w:style>
  <w:style w:type="character" w:customStyle="1" w:styleId="white">
    <w:name w:val="white"/>
    <w:qFormat/>
    <w:rsid w:val="001C5955"/>
    <w:rPr>
      <w:color w:val="FFFFFF" w:themeColor="background1"/>
    </w:rPr>
  </w:style>
  <w:style w:type="paragraph" w:customStyle="1" w:styleId="Frontinfo">
    <w:name w:val="Front info"/>
    <w:basedOn w:val="TitleHeader"/>
    <w:qFormat/>
    <w:rsid w:val="00BD6C43"/>
    <w:pPr>
      <w:adjustRightInd w:val="0"/>
      <w:ind w:left="0" w:firstLine="0"/>
    </w:pPr>
    <w:rPr>
      <w:caps w:val="0"/>
    </w:rPr>
  </w:style>
  <w:style w:type="paragraph" w:styleId="Title">
    <w:name w:val="Title"/>
    <w:basedOn w:val="Normal"/>
    <w:next w:val="Normal"/>
    <w:link w:val="TitleChar"/>
    <w:uiPriority w:val="10"/>
    <w:qFormat/>
    <w:rsid w:val="00C94C21"/>
    <w:pPr>
      <w:contextualSpacing/>
    </w:pPr>
    <w:rPr>
      <w:rFonts w:asciiTheme="majorHAnsi" w:eastAsiaTheme="majorEastAsia" w:hAnsiTheme="majorHAnsi" w:cstheme="majorBidi"/>
      <w:b/>
      <w:bCs/>
      <w:color w:val="00917C" w:themeColor="text1"/>
      <w:spacing w:val="-10"/>
      <w:kern w:val="28"/>
      <w:sz w:val="48"/>
      <w:szCs w:val="48"/>
      <w:lang w:val="nb-NO"/>
    </w:rPr>
  </w:style>
  <w:style w:type="character" w:customStyle="1" w:styleId="TitleChar">
    <w:name w:val="Title Char"/>
    <w:basedOn w:val="DefaultParagraphFont"/>
    <w:link w:val="Title"/>
    <w:uiPriority w:val="10"/>
    <w:rsid w:val="00C94C21"/>
    <w:rPr>
      <w:rFonts w:asciiTheme="majorHAnsi" w:eastAsiaTheme="majorEastAsia" w:hAnsiTheme="majorHAnsi" w:cstheme="majorBidi"/>
      <w:b/>
      <w:bCs/>
      <w:color w:val="00917C" w:themeColor="text1"/>
      <w:spacing w:val="-10"/>
      <w:kern w:val="28"/>
      <w:sz w:val="48"/>
      <w:szCs w:val="48"/>
      <w:lang w:val="nb-NO" w:eastAsia="nb-NO"/>
    </w:rPr>
  </w:style>
  <w:style w:type="table" w:customStyle="1" w:styleId="infotable">
    <w:name w:val="info table"/>
    <w:basedOn w:val="TableNormal"/>
    <w:rsid w:val="00CB7E4A"/>
    <w:tblPr>
      <w:tblStyleRowBandSize w:val="2"/>
      <w:tblCellMar>
        <w:top w:w="113" w:type="dxa"/>
        <w:left w:w="284" w:type="dxa"/>
        <w:bottom w:w="170" w:type="dxa"/>
        <w:right w:w="284" w:type="dxa"/>
      </w:tblCellMar>
    </w:tblPr>
    <w:tcPr>
      <w:shd w:val="clear" w:color="auto" w:fill="E8E8E8" w:themeFill="text2" w:themeFillTint="1A"/>
    </w:tcPr>
  </w:style>
  <w:style w:type="table" w:styleId="PlainTable3">
    <w:name w:val="Plain Table 3"/>
    <w:basedOn w:val="TableNormal"/>
    <w:uiPriority w:val="19"/>
    <w:qFormat/>
    <w:rsid w:val="00CB61EB"/>
    <w:tblPr>
      <w:tblStyleRowBandSize w:val="1"/>
      <w:tblStyleColBandSize w:val="1"/>
    </w:tblPr>
    <w:tblStylePr w:type="firstRow">
      <w:rPr>
        <w:b/>
        <w:bCs/>
        <w:caps/>
      </w:rPr>
      <w:tblPr/>
      <w:tcPr>
        <w:tcBorders>
          <w:bottom w:val="single" w:sz="4" w:space="0" w:color="47FFE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7FFE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5">
    <w:name w:val="Grid Table 5 Dark Accent 5"/>
    <w:basedOn w:val="TableNormal"/>
    <w:uiPriority w:val="48"/>
    <w:rsid w:val="009A13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D9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D9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D9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D9D5" w:themeFill="accent5"/>
      </w:tcPr>
    </w:tblStylePr>
    <w:tblStylePr w:type="band1Vert">
      <w:tblPr/>
      <w:tcPr>
        <w:shd w:val="clear" w:color="auto" w:fill="EFEFEE" w:themeFill="accent5" w:themeFillTint="66"/>
      </w:tcPr>
    </w:tblStylePr>
    <w:tblStylePr w:type="band1Horz">
      <w:tblPr/>
      <w:tcPr>
        <w:shd w:val="clear" w:color="auto" w:fill="EFEFEE" w:themeFill="accent5" w:themeFillTint="66"/>
      </w:tcPr>
    </w:tblStylePr>
  </w:style>
  <w:style w:type="table" w:customStyle="1" w:styleId="Odfjelltable">
    <w:name w:val="Odfjell table"/>
    <w:basedOn w:val="TableNormal"/>
    <w:rsid w:val="008C6668"/>
    <w:tblPr/>
  </w:style>
  <w:style w:type="paragraph" w:customStyle="1" w:styleId="tableheader">
    <w:name w:val="tableheader"/>
    <w:basedOn w:val="Normal"/>
    <w:qFormat/>
    <w:rsid w:val="00CB7E4A"/>
    <w:pPr>
      <w:spacing w:after="0"/>
    </w:pPr>
    <w:rPr>
      <w:b/>
      <w:caps/>
      <w:sz w:val="20"/>
    </w:rPr>
  </w:style>
  <w:style w:type="paragraph" w:customStyle="1" w:styleId="Pre-title">
    <w:name w:val="Pre-title"/>
    <w:basedOn w:val="Title"/>
    <w:qFormat/>
    <w:rsid w:val="00837270"/>
    <w:pPr>
      <w:spacing w:after="240"/>
    </w:pPr>
    <w:rPr>
      <w:b w:val="0"/>
      <w:color w:val="232323" w:themeColor="text2"/>
      <w:sz w:val="32"/>
      <w:lang w:val="en-US"/>
    </w:rPr>
  </w:style>
  <w:style w:type="table" w:styleId="PlainTable1">
    <w:name w:val="Plain Table 1"/>
    <w:basedOn w:val="TableNormal"/>
    <w:uiPriority w:val="72"/>
    <w:rsid w:val="003C0E8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36325A"/>
    <w:pPr>
      <w:snapToGrid/>
      <w:spacing w:after="360"/>
    </w:pPr>
    <w:rPr>
      <w:rFonts w:asciiTheme="minorHAnsi" w:eastAsiaTheme="minorEastAsia" w:hAnsiTheme="minorHAnsi" w:cstheme="minorBidi"/>
      <w:color w:val="auto"/>
      <w:sz w:val="15"/>
      <w:lang w:eastAsia="ko-KR"/>
    </w:rPr>
  </w:style>
  <w:style w:type="character" w:customStyle="1" w:styleId="FootnoteTextChar">
    <w:name w:val="Footnote Text Char"/>
    <w:basedOn w:val="DefaultParagraphFont"/>
    <w:link w:val="FootnoteText"/>
    <w:uiPriority w:val="99"/>
    <w:rsid w:val="0036325A"/>
    <w:rPr>
      <w:rFonts w:asciiTheme="minorHAnsi" w:eastAsiaTheme="minorEastAsia" w:hAnsiTheme="minorHAnsi" w:cstheme="minorBidi"/>
      <w:sz w:val="15"/>
      <w:lang w:val="en-GB" w:eastAsia="ko-KR"/>
    </w:rPr>
  </w:style>
  <w:style w:type="character" w:styleId="FootnoteReference">
    <w:name w:val="footnote reference"/>
    <w:basedOn w:val="DefaultParagraphFont"/>
    <w:uiPriority w:val="99"/>
    <w:unhideWhenUsed/>
    <w:rsid w:val="001A1A92"/>
    <w:rPr>
      <w:color w:val="808080" w:themeColor="background1" w:themeShade="80"/>
      <w:vertAlign w:val="superscript"/>
    </w:rPr>
  </w:style>
  <w:style w:type="character" w:styleId="Hyperlink">
    <w:name w:val="Hyperlink"/>
    <w:basedOn w:val="DefaultParagraphFont"/>
    <w:uiPriority w:val="99"/>
    <w:unhideWhenUsed/>
    <w:rsid w:val="00052D88"/>
    <w:rPr>
      <w:color w:val="002831" w:themeColor="hyperlink"/>
      <w:u w:val="single"/>
    </w:rPr>
  </w:style>
  <w:style w:type="paragraph" w:styleId="ListParagraph">
    <w:name w:val="List Paragraph"/>
    <w:basedOn w:val="Normal"/>
    <w:uiPriority w:val="1"/>
    <w:qFormat/>
    <w:rsid w:val="00F91178"/>
    <w:pPr>
      <w:snapToGrid/>
      <w:spacing w:after="160" w:line="259" w:lineRule="auto"/>
      <w:ind w:left="720"/>
      <w:contextualSpacing/>
    </w:pPr>
    <w:rPr>
      <w:rFonts w:asciiTheme="minorHAnsi" w:eastAsiaTheme="minorEastAsia" w:hAnsiTheme="minorHAnsi" w:cstheme="minorBidi"/>
      <w:color w:val="auto"/>
      <w:szCs w:val="22"/>
      <w:lang w:eastAsia="ko-KR"/>
    </w:rPr>
  </w:style>
  <w:style w:type="paragraph" w:styleId="List">
    <w:name w:val="List"/>
    <w:basedOn w:val="Normal"/>
    <w:uiPriority w:val="99"/>
    <w:unhideWhenUsed/>
    <w:rsid w:val="002A470C"/>
    <w:pPr>
      <w:numPr>
        <w:numId w:val="22"/>
      </w:numPr>
      <w:snapToGrid/>
      <w:spacing w:after="120" w:line="276" w:lineRule="auto"/>
      <w:ind w:left="426" w:hanging="426"/>
      <w:contextualSpacing/>
    </w:pPr>
    <w:rPr>
      <w:rFonts w:asciiTheme="minorHAnsi" w:eastAsiaTheme="minorHAnsi" w:hAnsiTheme="minorHAnsi" w:cstheme="minorBidi"/>
      <w:szCs w:val="22"/>
      <w:lang w:eastAsia="en-US"/>
    </w:rPr>
  </w:style>
  <w:style w:type="paragraph" w:styleId="List2">
    <w:name w:val="List 2"/>
    <w:basedOn w:val="List"/>
    <w:uiPriority w:val="99"/>
    <w:unhideWhenUsed/>
    <w:rsid w:val="002A470C"/>
    <w:pPr>
      <w:numPr>
        <w:ilvl w:val="1"/>
      </w:numPr>
      <w:ind w:left="851" w:hanging="425"/>
    </w:pPr>
  </w:style>
  <w:style w:type="character" w:styleId="FollowedHyperlink">
    <w:name w:val="FollowedHyperlink"/>
    <w:basedOn w:val="DefaultParagraphFont"/>
    <w:uiPriority w:val="99"/>
    <w:semiHidden/>
    <w:unhideWhenUsed/>
    <w:rsid w:val="00AD319D"/>
    <w:rPr>
      <w:color w:val="4C696E" w:themeColor="followedHyperlink"/>
      <w:u w:val="single"/>
    </w:rPr>
  </w:style>
  <w:style w:type="paragraph" w:styleId="CommentText">
    <w:name w:val="annotation text"/>
    <w:basedOn w:val="Normal"/>
    <w:link w:val="CommentTextChar"/>
    <w:uiPriority w:val="99"/>
    <w:unhideWhenUsed/>
    <w:rsid w:val="00825A07"/>
    <w:pPr>
      <w:snapToGrid/>
      <w:spacing w:after="200" w:line="240" w:lineRule="auto"/>
    </w:pPr>
    <w:rPr>
      <w:rFonts w:asciiTheme="minorHAnsi" w:eastAsiaTheme="minorEastAsia" w:hAnsiTheme="minorHAnsi" w:cstheme="minorBidi"/>
      <w:color w:val="auto"/>
      <w:sz w:val="20"/>
      <w:lang w:eastAsia="ko-KR"/>
    </w:rPr>
  </w:style>
  <w:style w:type="character" w:customStyle="1" w:styleId="CommentTextChar">
    <w:name w:val="Comment Text Char"/>
    <w:basedOn w:val="DefaultParagraphFont"/>
    <w:link w:val="CommentText"/>
    <w:uiPriority w:val="99"/>
    <w:rsid w:val="00825A07"/>
    <w:rPr>
      <w:rFonts w:asciiTheme="minorHAnsi" w:eastAsiaTheme="minorEastAsia" w:hAnsiTheme="minorHAnsi" w:cstheme="minorBidi"/>
      <w:lang w:val="en-GB" w:eastAsia="ko-KR"/>
    </w:rPr>
  </w:style>
  <w:style w:type="paragraph" w:styleId="NormalWeb">
    <w:name w:val="Normal (Web)"/>
    <w:basedOn w:val="Normal"/>
    <w:uiPriority w:val="99"/>
    <w:unhideWhenUsed/>
    <w:rsid w:val="00825A07"/>
    <w:pPr>
      <w:snapToGrid/>
      <w:spacing w:before="100" w:beforeAutospacing="1" w:after="100" w:afterAutospacing="1" w:line="240" w:lineRule="auto"/>
    </w:pPr>
    <w:rPr>
      <w:rFonts w:ascii="Times New Roman" w:hAnsi="Times New Roman" w:cs="Times New Roman"/>
      <w:color w:val="auto"/>
      <w:sz w:val="24"/>
      <w:szCs w:val="24"/>
      <w:lang w:eastAsia="ko-KR"/>
    </w:rPr>
  </w:style>
  <w:style w:type="paragraph" w:styleId="Caption">
    <w:name w:val="caption"/>
    <w:basedOn w:val="Normal"/>
    <w:next w:val="Normal"/>
    <w:uiPriority w:val="35"/>
    <w:unhideWhenUsed/>
    <w:qFormat/>
    <w:rsid w:val="00CA7566"/>
    <w:pPr>
      <w:spacing w:before="60" w:after="600"/>
      <w:ind w:left="709" w:right="567"/>
      <w:jc w:val="left"/>
    </w:pPr>
    <w:rPr>
      <w:i/>
      <w:iCs/>
      <w:sz w:val="20"/>
      <w:szCs w:val="18"/>
    </w:rPr>
  </w:style>
  <w:style w:type="paragraph" w:styleId="TOC1">
    <w:name w:val="toc 1"/>
    <w:basedOn w:val="Normal"/>
    <w:next w:val="Normal"/>
    <w:autoRedefine/>
    <w:uiPriority w:val="39"/>
    <w:unhideWhenUsed/>
    <w:rsid w:val="00122ED8"/>
    <w:pPr>
      <w:tabs>
        <w:tab w:val="right" w:leader="dot" w:pos="9060"/>
      </w:tabs>
      <w:spacing w:before="80" w:after="40"/>
      <w:ind w:left="567" w:hanging="567"/>
    </w:pPr>
    <w:rPr>
      <w:b/>
      <w:bCs/>
      <w:noProof/>
    </w:rPr>
  </w:style>
  <w:style w:type="paragraph" w:styleId="TOC2">
    <w:name w:val="toc 2"/>
    <w:basedOn w:val="Normal"/>
    <w:next w:val="Normal"/>
    <w:autoRedefine/>
    <w:uiPriority w:val="39"/>
    <w:unhideWhenUsed/>
    <w:rsid w:val="005640E7"/>
    <w:pPr>
      <w:tabs>
        <w:tab w:val="right" w:leader="dot" w:pos="9060"/>
      </w:tabs>
      <w:ind w:left="1276" w:hanging="709"/>
      <w:contextualSpacing/>
    </w:pPr>
    <w:rPr>
      <w:noProof/>
    </w:rPr>
  </w:style>
  <w:style w:type="paragraph" w:customStyle="1" w:styleId="TOCheader">
    <w:name w:val="TOCheader"/>
    <w:qFormat/>
    <w:rsid w:val="00122ED8"/>
    <w:pPr>
      <w:spacing w:after="240"/>
    </w:pPr>
    <w:rPr>
      <w:rFonts w:ascii="Arial" w:hAnsi="Arial" w:cs="Arial"/>
      <w:b/>
      <w:bCs/>
      <w:caps/>
      <w:color w:val="00917C" w:themeColor="text1"/>
      <w:kern w:val="32"/>
      <w:sz w:val="22"/>
      <w:szCs w:val="32"/>
      <w:lang w:val="en-GB" w:eastAsia="nb-NO"/>
    </w:rPr>
  </w:style>
  <w:style w:type="paragraph" w:customStyle="1" w:styleId="TableNormal0">
    <w:name w:val="TableNormal"/>
    <w:basedOn w:val="Normal"/>
    <w:qFormat/>
    <w:rsid w:val="007B4897"/>
    <w:pPr>
      <w:spacing w:after="0"/>
    </w:pPr>
  </w:style>
  <w:style w:type="table" w:customStyle="1" w:styleId="infotablewithheader">
    <w:name w:val="info table with header"/>
    <w:basedOn w:val="infotable"/>
    <w:uiPriority w:val="99"/>
    <w:rsid w:val="007B4897"/>
    <w:tblPr/>
    <w:tblStylePr w:type="firstRow">
      <w:tblPr/>
      <w:tcPr>
        <w:shd w:val="clear" w:color="auto" w:fill="C7C7C7" w:themeFill="text2" w:themeFillTint="40"/>
      </w:tcPr>
    </w:tblStylePr>
  </w:style>
  <w:style w:type="paragraph" w:customStyle="1" w:styleId="ReportSignature">
    <w:name w:val="ReportSignature"/>
    <w:basedOn w:val="Normal"/>
    <w:qFormat/>
    <w:rsid w:val="007668BF"/>
    <w:pPr>
      <w:spacing w:after="60"/>
    </w:pPr>
    <w:rPr>
      <w:i/>
      <w:iCs/>
      <w:color w:val="00917C" w:themeColor="text1"/>
    </w:rPr>
  </w:style>
  <w:style w:type="paragraph" w:styleId="BodyText">
    <w:name w:val="Body Text"/>
    <w:basedOn w:val="Normal"/>
    <w:link w:val="BodyTextChar"/>
    <w:uiPriority w:val="1"/>
    <w:qFormat/>
    <w:rsid w:val="00E95730"/>
    <w:pPr>
      <w:widowControl w:val="0"/>
      <w:autoSpaceDE w:val="0"/>
      <w:autoSpaceDN w:val="0"/>
      <w:snapToGrid/>
      <w:spacing w:after="0" w:line="240" w:lineRule="auto"/>
      <w:ind w:left="522"/>
      <w:jc w:val="left"/>
    </w:pPr>
    <w:rPr>
      <w:rFonts w:ascii="Verdana" w:eastAsia="Verdana" w:hAnsi="Verdana" w:cs="Verdana"/>
      <w:color w:val="auto"/>
      <w:szCs w:val="22"/>
      <w:lang w:val="en-US" w:eastAsia="en-US"/>
    </w:rPr>
  </w:style>
  <w:style w:type="character" w:customStyle="1" w:styleId="BodyTextChar">
    <w:name w:val="Body Text Char"/>
    <w:basedOn w:val="DefaultParagraphFont"/>
    <w:link w:val="BodyText"/>
    <w:uiPriority w:val="1"/>
    <w:rsid w:val="00E95730"/>
    <w:rPr>
      <w:rFonts w:ascii="Verdana" w:eastAsia="Verdana" w:hAnsi="Verdana" w:cs="Verdana"/>
      <w:sz w:val="22"/>
      <w:szCs w:val="22"/>
      <w:lang w:val="en-US" w:eastAsia="en-US"/>
    </w:rPr>
  </w:style>
  <w:style w:type="paragraph" w:customStyle="1" w:styleId="Policy-Ingress">
    <w:name w:val="Policy-Ingress"/>
    <w:basedOn w:val="Normal"/>
    <w:qFormat/>
    <w:rsid w:val="000F1208"/>
    <w:pPr>
      <w:spacing w:after="240"/>
    </w:pPr>
    <w:rPr>
      <w:b/>
      <w:i/>
      <w:color w:val="00917C" w:themeColor="text1"/>
      <w:sz w:val="25"/>
      <w:szCs w:val="26"/>
    </w:rPr>
  </w:style>
  <w:style w:type="paragraph" w:customStyle="1" w:styleId="Venstrebunntekst">
    <w:name w:val="Venstrebunntekst"/>
    <w:basedOn w:val="Footer"/>
    <w:qFormat/>
    <w:rsid w:val="0017546D"/>
    <w:pPr>
      <w:jc w:val="right"/>
    </w:pPr>
  </w:style>
  <w:style w:type="paragraph" w:customStyle="1" w:styleId="top-header">
    <w:name w:val="top-header"/>
    <w:basedOn w:val="Normal"/>
    <w:qFormat/>
    <w:rsid w:val="00D454AC"/>
    <w:rPr>
      <w:b/>
    </w:rPr>
  </w:style>
  <w:style w:type="paragraph" w:styleId="Revision">
    <w:name w:val="Revision"/>
    <w:hidden/>
    <w:uiPriority w:val="71"/>
    <w:rsid w:val="0016554D"/>
    <w:rPr>
      <w:rFonts w:ascii="Arial" w:hAnsi="Arial" w:cs="Arial"/>
      <w:color w:val="232323" w:themeColor="text2"/>
      <w:sz w:val="22"/>
      <w:lang w:val="en-GB" w:eastAsia="nb-NO"/>
    </w:rPr>
  </w:style>
  <w:style w:type="character" w:styleId="CommentReference">
    <w:name w:val="annotation reference"/>
    <w:basedOn w:val="DefaultParagraphFont"/>
    <w:uiPriority w:val="99"/>
    <w:semiHidden/>
    <w:unhideWhenUsed/>
    <w:rsid w:val="007E486C"/>
    <w:rPr>
      <w:sz w:val="16"/>
      <w:szCs w:val="16"/>
    </w:rPr>
  </w:style>
  <w:style w:type="paragraph" w:styleId="CommentSubject">
    <w:name w:val="annotation subject"/>
    <w:basedOn w:val="CommentText"/>
    <w:next w:val="CommentText"/>
    <w:link w:val="CommentSubjectChar"/>
    <w:uiPriority w:val="99"/>
    <w:semiHidden/>
    <w:unhideWhenUsed/>
    <w:rsid w:val="007E486C"/>
    <w:pPr>
      <w:snapToGrid w:val="0"/>
      <w:spacing w:after="180"/>
    </w:pPr>
    <w:rPr>
      <w:rFonts w:ascii="Arial" w:eastAsia="Times New Roman" w:hAnsi="Arial" w:cs="Arial"/>
      <w:b/>
      <w:bCs/>
      <w:color w:val="232323" w:themeColor="text2"/>
      <w:lang w:eastAsia="nb-NO"/>
    </w:rPr>
  </w:style>
  <w:style w:type="character" w:customStyle="1" w:styleId="CommentSubjectChar">
    <w:name w:val="Comment Subject Char"/>
    <w:basedOn w:val="CommentTextChar"/>
    <w:link w:val="CommentSubject"/>
    <w:uiPriority w:val="99"/>
    <w:semiHidden/>
    <w:rsid w:val="007E486C"/>
    <w:rPr>
      <w:rFonts w:ascii="Arial" w:eastAsiaTheme="minorEastAsia" w:hAnsi="Arial" w:cs="Arial"/>
      <w:b/>
      <w:bCs/>
      <w:color w:val="232323" w:themeColor="text2"/>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9000">
      <w:bodyDiv w:val="1"/>
      <w:marLeft w:val="0"/>
      <w:marRight w:val="0"/>
      <w:marTop w:val="0"/>
      <w:marBottom w:val="0"/>
      <w:divBdr>
        <w:top w:val="none" w:sz="0" w:space="0" w:color="auto"/>
        <w:left w:val="none" w:sz="0" w:space="0" w:color="auto"/>
        <w:bottom w:val="none" w:sz="0" w:space="0" w:color="auto"/>
        <w:right w:val="none" w:sz="0" w:space="0" w:color="auto"/>
      </w:divBdr>
      <w:divsChild>
        <w:div w:id="640186935">
          <w:marLeft w:val="0"/>
          <w:marRight w:val="0"/>
          <w:marTop w:val="0"/>
          <w:marBottom w:val="0"/>
          <w:divBdr>
            <w:top w:val="none" w:sz="0" w:space="0" w:color="auto"/>
            <w:left w:val="none" w:sz="0" w:space="0" w:color="auto"/>
            <w:bottom w:val="none" w:sz="0" w:space="0" w:color="auto"/>
            <w:right w:val="none" w:sz="0" w:space="0" w:color="auto"/>
          </w:divBdr>
          <w:divsChild>
            <w:div w:id="15277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dfjell-tech">
  <a:themeElements>
    <a:clrScheme name="Custom 41">
      <a:dk1>
        <a:srgbClr val="00917C"/>
      </a:dk1>
      <a:lt1>
        <a:srgbClr val="FFFFFF"/>
      </a:lt1>
      <a:dk2>
        <a:srgbClr val="232323"/>
      </a:dk2>
      <a:lt2>
        <a:srgbClr val="ECFAF1"/>
      </a:lt2>
      <a:accent1>
        <a:srgbClr val="002F6C"/>
      </a:accent1>
      <a:accent2>
        <a:srgbClr val="00CE7C"/>
      </a:accent2>
      <a:accent3>
        <a:srgbClr val="005580"/>
      </a:accent3>
      <a:accent4>
        <a:srgbClr val="FA8E88"/>
      </a:accent4>
      <a:accent5>
        <a:srgbClr val="D8D9D5"/>
      </a:accent5>
      <a:accent6>
        <a:srgbClr val="65D3ED"/>
      </a:accent6>
      <a:hlink>
        <a:srgbClr val="002831"/>
      </a:hlink>
      <a:folHlink>
        <a:srgbClr val="4C696E"/>
      </a:folHlink>
    </a:clrScheme>
    <a:fontScheme name="ODDFJELL-system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sz="1400" dirty="0" smtClean="0"/>
        </a:defPPr>
      </a:lstStyle>
    </a:txDef>
  </a:objectDefaults>
  <a:extraClrSchemeLst/>
  <a:extLst>
    <a:ext uri="{05A4C25C-085E-4340-85A3-A5531E510DB2}">
      <thm15:themeFamily xmlns:thm15="http://schemas.microsoft.com/office/thememl/2012/main" name="Odfjell-tech" id="{96C45E91-65C2-A64D-8DCA-92BFACABF148}" vid="{2A959AA2-121E-3E42-A130-81B21FAAD4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9e318b-1295-42d4-a741-c883b27b92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99D7AB646AF439FB6192D08535DE8" ma:contentTypeVersion="9" ma:contentTypeDescription="Create a new document." ma:contentTypeScope="" ma:versionID="bfa9d3f1416dea1fa748137d87e336af">
  <xsd:schema xmlns:xsd="http://www.w3.org/2001/XMLSchema" xmlns:xs="http://www.w3.org/2001/XMLSchema" xmlns:p="http://schemas.microsoft.com/office/2006/metadata/properties" xmlns:ns3="e09e318b-1295-42d4-a741-c883b27b926b" xmlns:ns4="d571d983-a8d5-4dae-b1c5-1c5ecc23c140" targetNamespace="http://schemas.microsoft.com/office/2006/metadata/properties" ma:root="true" ma:fieldsID="09a8d71030bc6500f58534d31639e8b7" ns3:_="" ns4:_="">
    <xsd:import namespace="e09e318b-1295-42d4-a741-c883b27b926b"/>
    <xsd:import namespace="d571d983-a8d5-4dae-b1c5-1c5ecc23c1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e318b-1295-42d4-a741-c883b27b9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1d983-a8d5-4dae-b1c5-1c5ecc23c1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A2F54-A690-4C0C-A9D4-BD0F541644FD}">
  <ds:schemaRefs>
    <ds:schemaRef ds:uri="http://schemas.microsoft.com/office/2006/metadata/properties"/>
    <ds:schemaRef ds:uri="http://schemas.microsoft.com/office/infopath/2007/PartnerControls"/>
    <ds:schemaRef ds:uri="e09e318b-1295-42d4-a741-c883b27b926b"/>
  </ds:schemaRefs>
</ds:datastoreItem>
</file>

<file path=customXml/itemProps2.xml><?xml version="1.0" encoding="utf-8"?>
<ds:datastoreItem xmlns:ds="http://schemas.openxmlformats.org/officeDocument/2006/customXml" ds:itemID="{F586C7B6-BEDD-4666-8579-99F7842C8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e318b-1295-42d4-a741-c883b27b926b"/>
    <ds:schemaRef ds:uri="d571d983-a8d5-4dae-b1c5-1c5ecc23c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0991E-5A89-4113-9776-0BAE52B23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4865</Characters>
  <Application>Microsoft Office Word</Application>
  <DocSecurity>0</DocSecurity>
  <Lines>147</Lines>
  <Paragraphs>52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Policy Title</vt:lpstr>
      <vt:lpstr>Policy Title</vt:lpstr>
    </vt:vector>
  </TitlesOfParts>
  <Manager/>
  <Company>Odfjell Technology</Company>
  <LinksUpToDate>false</LinksUpToDate>
  <CharactersWithSpaces>5677</CharactersWithSpaces>
  <SharedDoc>false</SharedDoc>
  <HyperlinkBase/>
  <HLinks>
    <vt:vector size="6" baseType="variant">
      <vt:variant>
        <vt:i4>3997778</vt:i4>
      </vt:variant>
      <vt:variant>
        <vt:i4>2586</vt:i4>
      </vt:variant>
      <vt:variant>
        <vt:i4>1025</vt:i4>
      </vt:variant>
      <vt:variant>
        <vt:i4>1</vt:i4>
      </vt:variant>
      <vt:variant>
        <vt:lpwstr>Odfjell Technology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
  <dc:creator>Stephen Diane</dc:creator>
  <cp:keywords/>
  <dc:description/>
  <cp:lastModifiedBy>Groves Tristan</cp:lastModifiedBy>
  <cp:revision>2</cp:revision>
  <cp:lastPrinted>2023-12-21T11:25:00Z</cp:lastPrinted>
  <dcterms:created xsi:type="dcterms:W3CDTF">2025-12-16T09:40:00Z</dcterms:created>
  <dcterms:modified xsi:type="dcterms:W3CDTF">2025-12-16T09:40:00Z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LI-CORP-004</vt:lpwstr>
  </property>
  <property fmtid="{D5CDD505-2E9C-101B-9397-08002B2CF9AE}" pid="3" name="ContentTypeId">
    <vt:lpwstr>0x01010002B99D7AB646AF439FB6192D08535DE8</vt:lpwstr>
  </property>
</Properties>
</file>